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D21734" w:rsidRDefault="00BE4B9A">
      <w:pPr>
        <w:pStyle w:val="1"/>
        <w:spacing w:before="240" w:after="240" w:line="276" w:lineRule="auto"/>
        <w:ind w:left="0" w:right="6" w:firstLine="6"/>
        <w:jc w:val="center"/>
      </w:pPr>
      <w:r>
        <w:t>FRANSUZ TILI FANIDAN PEDAGOG KADRLARNING KASBIY SERTIFIKATLASH TEST TIZIMI UCHUN TEST SPETSIFIKATSIYASI</w:t>
      </w:r>
    </w:p>
    <w:p w:rsidR="00D21734" w:rsidRDefault="00BE4B9A">
      <w:pPr>
        <w:pBdr>
          <w:top w:val="nil"/>
          <w:left w:val="nil"/>
          <w:bottom w:val="nil"/>
          <w:right w:val="nil"/>
          <w:between w:val="nil"/>
        </w:pBdr>
        <w:spacing w:after="120" w:line="276" w:lineRule="auto"/>
        <w:ind w:firstLine="720"/>
        <w:jc w:val="both"/>
        <w:rPr>
          <w:color w:val="000000"/>
          <w:sz w:val="28"/>
          <w:szCs w:val="28"/>
        </w:rPr>
      </w:pPr>
      <w:bookmarkStart w:id="0" w:name="_heading=h.3694kw1vps7a" w:colFirst="0" w:colLast="0"/>
      <w:bookmarkEnd w:id="0"/>
      <w:r>
        <w:rPr>
          <w:color w:val="000000"/>
          <w:sz w:val="28"/>
          <w:szCs w:val="28"/>
        </w:rPr>
        <w:t>Mazkur spetsifikatsiya pedagog kadrlar (stajyor - o‘qituvchi)ni fransuz tili fanidan bilim va ko‘nikma darajalarini aniqlash  malaka sinovining umumiy tamoyillari, me’yoriy asoslari, baholashning qamrovi, baholash mezonlari va malaka sinovini oʻtkazish tartibiga qoʻyiladigan talablarni aks ettiradi.</w:t>
      </w:r>
    </w:p>
    <w:p w:rsidR="00D21734" w:rsidRDefault="00BE4B9A">
      <w:pPr>
        <w:pBdr>
          <w:top w:val="nil"/>
          <w:left w:val="nil"/>
          <w:bottom w:val="nil"/>
          <w:right w:val="nil"/>
          <w:between w:val="nil"/>
        </w:pBdr>
        <w:spacing w:before="120" w:after="120" w:line="276" w:lineRule="auto"/>
        <w:ind w:firstLine="720"/>
        <w:jc w:val="center"/>
        <w:rPr>
          <w:color w:val="000000"/>
          <w:sz w:val="28"/>
          <w:szCs w:val="28"/>
        </w:rPr>
      </w:pPr>
      <w:r>
        <w:rPr>
          <w:b/>
          <w:bCs/>
          <w:color w:val="000000"/>
          <w:sz w:val="28"/>
          <w:szCs w:val="28"/>
        </w:rPr>
        <w:t>I. Umumiy tamoyillar</w:t>
      </w:r>
    </w:p>
    <w:p w:rsidR="00D21734" w:rsidRDefault="00BE4B9A">
      <w:pPr>
        <w:pBdr>
          <w:top w:val="nil"/>
          <w:left w:val="nil"/>
          <w:bottom w:val="nil"/>
          <w:right w:val="nil"/>
          <w:between w:val="nil"/>
        </w:pBdr>
        <w:spacing w:line="276" w:lineRule="auto"/>
        <w:ind w:firstLine="720"/>
        <w:jc w:val="both"/>
        <w:rPr>
          <w:color w:val="000000"/>
          <w:sz w:val="28"/>
          <w:szCs w:val="28"/>
        </w:rPr>
      </w:pPr>
      <w:bookmarkStart w:id="1" w:name="_heading=h.ynv3xecwiud3" w:colFirst="0" w:colLast="0"/>
      <w:bookmarkEnd w:id="1"/>
      <w:r>
        <w:rPr>
          <w:color w:val="000000"/>
          <w:sz w:val="28"/>
          <w:szCs w:val="28"/>
        </w:rPr>
        <w:t xml:space="preserve">Baholash maqsadi – talabgorlarning </w:t>
      </w:r>
      <w:r>
        <w:rPr>
          <w:sz w:val="28"/>
          <w:szCs w:val="28"/>
        </w:rPr>
        <w:t xml:space="preserve">fransuz tili fani </w:t>
      </w:r>
      <w:r>
        <w:rPr>
          <w:color w:val="000000"/>
          <w:sz w:val="28"/>
          <w:szCs w:val="28"/>
        </w:rPr>
        <w:t>o‘qitish metodikasi bo‘yicha nazariy bilimlari, amaliy koʻnikma va kompetensiyalarini</w:t>
      </w:r>
      <w:r>
        <w:rPr>
          <w:b/>
          <w:bCs/>
          <w:color w:val="000000"/>
          <w:sz w:val="28"/>
          <w:szCs w:val="28"/>
        </w:rPr>
        <w:t xml:space="preserve"> </w:t>
      </w:r>
      <w:r>
        <w:rPr>
          <w:color w:val="000000"/>
          <w:sz w:val="28"/>
          <w:szCs w:val="28"/>
        </w:rPr>
        <w:t xml:space="preserve">kompleks baholash.  </w:t>
      </w:r>
    </w:p>
    <w:p w:rsidR="00D21734" w:rsidRDefault="00BE4B9A">
      <w:pPr>
        <w:pBdr>
          <w:top w:val="nil"/>
          <w:left w:val="nil"/>
          <w:bottom w:val="nil"/>
          <w:right w:val="nil"/>
          <w:between w:val="nil"/>
        </w:pBdr>
        <w:spacing w:after="120" w:line="276" w:lineRule="auto"/>
        <w:ind w:firstLine="720"/>
        <w:jc w:val="both"/>
        <w:rPr>
          <w:color w:val="000000"/>
          <w:sz w:val="28"/>
          <w:szCs w:val="28"/>
        </w:rPr>
      </w:pPr>
      <w:r>
        <w:rPr>
          <w:color w:val="000000"/>
          <w:sz w:val="28"/>
          <w:szCs w:val="28"/>
        </w:rPr>
        <w:t xml:space="preserve">Ushbu baholash natijalari asosida pedagog kadrlar egallashi lozim boʻladigan bilim, koʻnikma va kompetensiyalarni aniqlashda qabul qilinadigan qarorlar asosli bo‘lishini ta’minlash maqsadida baholashning barcha bosqichlarida validlik, ishonchlilik, adolat va shaffoflik tamoyillariga rioya qilinishi ta’minlanadi.  </w:t>
      </w:r>
    </w:p>
    <w:p w:rsidR="00D21734" w:rsidRDefault="00BE4B9A">
      <w:pPr>
        <w:pBdr>
          <w:top w:val="nil"/>
          <w:left w:val="nil"/>
          <w:bottom w:val="nil"/>
          <w:right w:val="nil"/>
          <w:between w:val="nil"/>
        </w:pBdr>
        <w:spacing w:before="120" w:after="120" w:line="276" w:lineRule="auto"/>
        <w:ind w:firstLine="720"/>
        <w:jc w:val="center"/>
        <w:rPr>
          <w:b/>
          <w:bCs/>
          <w:color w:val="000000"/>
          <w:sz w:val="28"/>
          <w:szCs w:val="28"/>
        </w:rPr>
      </w:pPr>
      <w:r>
        <w:rPr>
          <w:b/>
          <w:bCs/>
          <w:color w:val="000000"/>
          <w:sz w:val="28"/>
          <w:szCs w:val="28"/>
        </w:rPr>
        <w:t>II. Meʼyoriy asoslar</w:t>
      </w:r>
    </w:p>
    <w:p w:rsidR="00D21734" w:rsidRDefault="00BE4B9A">
      <w:pPr>
        <w:pBdr>
          <w:top w:val="nil"/>
          <w:left w:val="nil"/>
          <w:bottom w:val="nil"/>
          <w:right w:val="nil"/>
          <w:between w:val="nil"/>
        </w:pBdr>
        <w:spacing w:after="120" w:line="276" w:lineRule="auto"/>
        <w:ind w:firstLine="720"/>
        <w:jc w:val="both"/>
        <w:rPr>
          <w:color w:val="000000"/>
          <w:sz w:val="28"/>
          <w:szCs w:val="28"/>
        </w:rPr>
      </w:pPr>
      <w:r>
        <w:rPr>
          <w:color w:val="000000"/>
          <w:sz w:val="28"/>
          <w:szCs w:val="28"/>
        </w:rPr>
        <w:t xml:space="preserve">1. </w:t>
      </w:r>
      <w:r>
        <w:rPr>
          <w:sz w:val="28"/>
          <w:szCs w:val="28"/>
        </w:rPr>
        <w:t>Oʻzbekiston Respublikasi Vazirlar Mahkamasining “Davlat umumiy oʻrta taʼlim tashkilotlari pedagog kadrlarini kasbiy sertifikatlash boʻyicha davlat xizmatlarini koʻrsatishning maʼmuriy reglamentini tasdiqlash toʻgʻrisida” 2024-yil 12-fevraldagi 87-son qarori</w:t>
      </w:r>
      <w:r>
        <w:rPr>
          <w:color w:val="000000"/>
          <w:sz w:val="28"/>
          <w:szCs w:val="28"/>
        </w:rPr>
        <w:t>.</w:t>
      </w:r>
    </w:p>
    <w:p w:rsidR="00D21734" w:rsidRDefault="00BE4B9A">
      <w:pPr>
        <w:pBdr>
          <w:top w:val="nil"/>
          <w:left w:val="nil"/>
          <w:bottom w:val="nil"/>
          <w:right w:val="nil"/>
          <w:between w:val="nil"/>
        </w:pBdr>
        <w:spacing w:before="120" w:after="120" w:line="276" w:lineRule="auto"/>
        <w:ind w:firstLine="720"/>
        <w:jc w:val="center"/>
        <w:rPr>
          <w:b/>
          <w:bCs/>
          <w:color w:val="000000"/>
          <w:sz w:val="28"/>
          <w:szCs w:val="28"/>
        </w:rPr>
      </w:pPr>
      <w:r>
        <w:rPr>
          <w:b/>
          <w:bCs/>
          <w:color w:val="000000"/>
          <w:sz w:val="28"/>
          <w:szCs w:val="28"/>
        </w:rPr>
        <w:t>III. Baholash qamrovi</w:t>
      </w:r>
    </w:p>
    <w:p w:rsidR="00D21734" w:rsidRDefault="00BE4B9A">
      <w:pPr>
        <w:pBdr>
          <w:top w:val="nil"/>
          <w:left w:val="nil"/>
          <w:bottom w:val="nil"/>
          <w:right w:val="nil"/>
          <w:between w:val="nil"/>
        </w:pBdr>
        <w:spacing w:after="120" w:line="276" w:lineRule="auto"/>
        <w:ind w:firstLine="720"/>
        <w:jc w:val="both"/>
        <w:rPr>
          <w:color w:val="000000"/>
          <w:sz w:val="28"/>
          <w:szCs w:val="28"/>
        </w:rPr>
      </w:pPr>
      <w:r>
        <w:rPr>
          <w:color w:val="000000"/>
          <w:sz w:val="28"/>
          <w:szCs w:val="28"/>
        </w:rPr>
        <w:t xml:space="preserve">Fransuz tili fani o‘qituvchilari uchun malaka sinovida jami 50 ta test savollari (mutaxassislik fanidan 40 ta, pedagogik mahorat fanidan 10 ta) topshirig‘i taqdim etiladi va test topshiriqlarini bajarish uchun </w:t>
      </w:r>
      <w:r w:rsidR="0055683B" w:rsidRPr="0055683B">
        <w:rPr>
          <w:sz w:val="28"/>
          <w:szCs w:val="28"/>
        </w:rPr>
        <w:t>9</w:t>
      </w:r>
      <w:bookmarkStart w:id="2" w:name="_GoBack"/>
      <w:bookmarkEnd w:id="2"/>
      <w:r>
        <w:rPr>
          <w:sz w:val="28"/>
          <w:szCs w:val="28"/>
        </w:rPr>
        <w:t>0</w:t>
      </w:r>
      <w:r>
        <w:rPr>
          <w:color w:val="000000"/>
          <w:sz w:val="28"/>
          <w:szCs w:val="28"/>
        </w:rPr>
        <w:t xml:space="preserve"> daqiqa (mutaxassislik fani hamda pedagogik mahorat)  vaqt beriladi. Bunda yopiq test topshiriqlaridan (</w:t>
      </w:r>
      <w:r>
        <w:rPr>
          <w:i/>
          <w:iCs/>
          <w:color w:val="000000"/>
          <w:sz w:val="28"/>
          <w:szCs w:val="28"/>
        </w:rPr>
        <w:t>yagona to‘g‘ri javobni talab qiladigan test topshiriqlari, moslashtirishni talab qiladigan test topshiriqlari va ketma-ketlikni talab qiladigan test topshiriqlari</w:t>
      </w:r>
      <w:r>
        <w:rPr>
          <w:color w:val="000000"/>
          <w:sz w:val="28"/>
          <w:szCs w:val="28"/>
        </w:rPr>
        <w:t>) foydalaniladi. Test topshiriqlarining mazmun sohasi va baholanadigan konstruktlar bo‘yicha taqsimoti quyidagi jadvalda aks etgan:</w:t>
      </w:r>
    </w:p>
    <w:p w:rsidR="00D21734" w:rsidRDefault="00BE4B9A">
      <w:pPr>
        <w:widowControl/>
        <w:numPr>
          <w:ilvl w:val="0"/>
          <w:numId w:val="1"/>
        </w:numPr>
        <w:pBdr>
          <w:top w:val="nil"/>
          <w:left w:val="nil"/>
          <w:bottom w:val="nil"/>
          <w:right w:val="nil"/>
          <w:between w:val="nil"/>
        </w:pBdr>
        <w:tabs>
          <w:tab w:val="left" w:pos="284"/>
        </w:tabs>
        <w:spacing w:line="276" w:lineRule="auto"/>
        <w:ind w:left="0" w:firstLine="0"/>
        <w:jc w:val="right"/>
        <w:rPr>
          <w:i/>
          <w:iCs/>
          <w:color w:val="000000"/>
          <w:sz w:val="24"/>
          <w:szCs w:val="24"/>
        </w:rPr>
      </w:pPr>
      <w:r>
        <w:rPr>
          <w:i/>
          <w:iCs/>
          <w:color w:val="000000"/>
          <w:sz w:val="24"/>
          <w:szCs w:val="24"/>
        </w:rPr>
        <w:t xml:space="preserve">jadval </w:t>
      </w:r>
    </w:p>
    <w:p w:rsidR="00D21734" w:rsidRDefault="00BE4B9A">
      <w:pPr>
        <w:pBdr>
          <w:top w:val="nil"/>
          <w:left w:val="nil"/>
          <w:bottom w:val="nil"/>
          <w:right w:val="nil"/>
          <w:between w:val="nil"/>
        </w:pBdr>
        <w:spacing w:line="276" w:lineRule="auto"/>
        <w:ind w:right="-2"/>
        <w:jc w:val="right"/>
        <w:rPr>
          <w:i/>
          <w:iCs/>
          <w:color w:val="000000"/>
          <w:sz w:val="28"/>
          <w:szCs w:val="28"/>
        </w:rPr>
      </w:pPr>
      <w:r>
        <w:rPr>
          <w:i/>
          <w:iCs/>
          <w:color w:val="000000"/>
          <w:sz w:val="28"/>
          <w:szCs w:val="28"/>
        </w:rPr>
        <w:t>Test topshiriqlarining mazmun sohasi va baholanadigan konstruktlar bo‘yicha taqsimoti</w:t>
      </w:r>
    </w:p>
    <w:tbl>
      <w:tblPr>
        <w:tblStyle w:val="ae"/>
        <w:tblW w:w="9356"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844"/>
        <w:gridCol w:w="6236"/>
        <w:gridCol w:w="1276"/>
      </w:tblGrid>
      <w:tr w:rsidR="00D21734">
        <w:trPr>
          <w:trHeight w:val="607"/>
        </w:trPr>
        <w:tc>
          <w:tcPr>
            <w:tcW w:w="1844" w:type="dxa"/>
            <w:vAlign w:val="center"/>
          </w:tcPr>
          <w:p w:rsidR="00D21734" w:rsidRDefault="00BE4B9A">
            <w:pPr>
              <w:pBdr>
                <w:top w:val="nil"/>
                <w:left w:val="nil"/>
                <w:bottom w:val="nil"/>
                <w:right w:val="nil"/>
                <w:between w:val="nil"/>
              </w:pBdr>
              <w:spacing w:line="276" w:lineRule="auto"/>
              <w:jc w:val="center"/>
              <w:rPr>
                <w:color w:val="000000"/>
                <w:sz w:val="28"/>
                <w:szCs w:val="28"/>
              </w:rPr>
            </w:pPr>
            <w:bookmarkStart w:id="3" w:name="_heading=h.htmjkz3ubphf" w:colFirst="0" w:colLast="0"/>
            <w:bookmarkEnd w:id="3"/>
            <w:r>
              <w:rPr>
                <w:b/>
                <w:bCs/>
                <w:sz w:val="28"/>
                <w:szCs w:val="28"/>
              </w:rPr>
              <w:t>Mazmun sohasi</w:t>
            </w:r>
          </w:p>
        </w:tc>
        <w:tc>
          <w:tcPr>
            <w:tcW w:w="6236" w:type="dxa"/>
            <w:vAlign w:val="center"/>
          </w:tcPr>
          <w:p w:rsidR="00D21734" w:rsidRDefault="00BE4B9A">
            <w:pPr>
              <w:spacing w:line="276" w:lineRule="auto"/>
              <w:jc w:val="center"/>
              <w:rPr>
                <w:color w:val="000000"/>
                <w:sz w:val="28"/>
                <w:szCs w:val="28"/>
              </w:rPr>
            </w:pPr>
            <w:r>
              <w:rPr>
                <w:b/>
                <w:bCs/>
                <w:sz w:val="28"/>
                <w:szCs w:val="28"/>
              </w:rPr>
              <w:t>Baholanadigan konstruktlar</w:t>
            </w:r>
          </w:p>
        </w:tc>
        <w:tc>
          <w:tcPr>
            <w:tcW w:w="1276" w:type="dxa"/>
            <w:vAlign w:val="center"/>
          </w:tcPr>
          <w:p w:rsidR="00D21734" w:rsidRDefault="00BE4B9A">
            <w:pPr>
              <w:pBdr>
                <w:top w:val="nil"/>
                <w:left w:val="nil"/>
                <w:bottom w:val="nil"/>
                <w:right w:val="nil"/>
                <w:between w:val="nil"/>
              </w:pBdr>
              <w:spacing w:line="276" w:lineRule="auto"/>
              <w:jc w:val="center"/>
              <w:rPr>
                <w:color w:val="000000"/>
                <w:sz w:val="28"/>
                <w:szCs w:val="28"/>
              </w:rPr>
            </w:pPr>
            <w:r>
              <w:rPr>
                <w:b/>
                <w:bCs/>
                <w:sz w:val="28"/>
                <w:szCs w:val="28"/>
              </w:rPr>
              <w:t xml:space="preserve">Test topshiriqlari soni </w:t>
            </w:r>
          </w:p>
        </w:tc>
      </w:tr>
      <w:tr w:rsidR="00D21734">
        <w:trPr>
          <w:cantSplit/>
          <w:trHeight w:val="346"/>
        </w:trPr>
        <w:tc>
          <w:tcPr>
            <w:tcW w:w="8080" w:type="dxa"/>
            <w:gridSpan w:val="2"/>
            <w:vAlign w:val="center"/>
          </w:tcPr>
          <w:p w:rsidR="00D21734" w:rsidRDefault="00BE4B9A">
            <w:pPr>
              <w:pBdr>
                <w:top w:val="nil"/>
                <w:left w:val="nil"/>
                <w:bottom w:val="nil"/>
                <w:right w:val="nil"/>
                <w:between w:val="nil"/>
              </w:pBdr>
              <w:spacing w:line="276" w:lineRule="auto"/>
              <w:ind w:left="1080"/>
              <w:jc w:val="center"/>
              <w:rPr>
                <w:b/>
                <w:bCs/>
                <w:color w:val="000000"/>
                <w:sz w:val="28"/>
                <w:szCs w:val="28"/>
              </w:rPr>
            </w:pPr>
            <w:r>
              <w:rPr>
                <w:b/>
                <w:bCs/>
                <w:color w:val="000000"/>
                <w:sz w:val="28"/>
                <w:szCs w:val="28"/>
              </w:rPr>
              <w:lastRenderedPageBreak/>
              <w:t>I. FRANSUZ TILI</w:t>
            </w:r>
          </w:p>
        </w:tc>
        <w:tc>
          <w:tcPr>
            <w:tcW w:w="1276" w:type="dxa"/>
            <w:vAlign w:val="center"/>
          </w:tcPr>
          <w:p w:rsidR="00D21734" w:rsidRDefault="00BE4B9A">
            <w:pPr>
              <w:pBdr>
                <w:top w:val="nil"/>
                <w:left w:val="nil"/>
                <w:bottom w:val="nil"/>
                <w:right w:val="nil"/>
                <w:between w:val="nil"/>
              </w:pBdr>
              <w:spacing w:line="276" w:lineRule="auto"/>
              <w:jc w:val="center"/>
              <w:rPr>
                <w:b/>
                <w:bCs/>
                <w:color w:val="000000"/>
                <w:sz w:val="28"/>
                <w:szCs w:val="28"/>
                <w:highlight w:val="yellow"/>
              </w:rPr>
            </w:pPr>
            <w:r>
              <w:rPr>
                <w:b/>
                <w:bCs/>
                <w:color w:val="000000"/>
                <w:sz w:val="28"/>
                <w:szCs w:val="28"/>
              </w:rPr>
              <w:t>40 ta</w:t>
            </w:r>
          </w:p>
        </w:tc>
      </w:tr>
      <w:tr w:rsidR="00D21734">
        <w:trPr>
          <w:cantSplit/>
          <w:trHeight w:val="346"/>
        </w:trPr>
        <w:tc>
          <w:tcPr>
            <w:tcW w:w="9356" w:type="dxa"/>
            <w:gridSpan w:val="3"/>
            <w:vAlign w:val="center"/>
          </w:tcPr>
          <w:p w:rsidR="00D21734" w:rsidRDefault="00BE4B9A">
            <w:pPr>
              <w:pBdr>
                <w:top w:val="nil"/>
                <w:left w:val="nil"/>
                <w:bottom w:val="nil"/>
                <w:right w:val="nil"/>
                <w:between w:val="nil"/>
              </w:pBdr>
              <w:spacing w:line="276" w:lineRule="auto"/>
              <w:jc w:val="center"/>
              <w:rPr>
                <w:color w:val="000000"/>
                <w:sz w:val="28"/>
                <w:szCs w:val="28"/>
              </w:rPr>
            </w:pPr>
            <w:r>
              <w:rPr>
                <w:b/>
                <w:bCs/>
                <w:sz w:val="28"/>
                <w:szCs w:val="28"/>
              </w:rPr>
              <w:t xml:space="preserve">1. </w:t>
            </w:r>
            <w:r>
              <w:rPr>
                <w:b/>
                <w:bCs/>
                <w:color w:val="000000"/>
                <w:sz w:val="28"/>
                <w:szCs w:val="28"/>
              </w:rPr>
              <w:t xml:space="preserve">Tilning amaliy qo‘llanilishi </w:t>
            </w:r>
            <w:r>
              <w:rPr>
                <w:b/>
                <w:bCs/>
                <w:sz w:val="28"/>
                <w:szCs w:val="28"/>
              </w:rPr>
              <w:t>(1 - 35 savollar)</w:t>
            </w:r>
          </w:p>
        </w:tc>
      </w:tr>
      <w:tr w:rsidR="00D21734">
        <w:trPr>
          <w:cantSplit/>
          <w:trHeight w:val="155"/>
        </w:trPr>
        <w:tc>
          <w:tcPr>
            <w:tcW w:w="1844" w:type="dxa"/>
            <w:vAlign w:val="center"/>
          </w:tcPr>
          <w:p w:rsidR="00D21734" w:rsidRDefault="00BE4B9A">
            <w:pPr>
              <w:pBdr>
                <w:top w:val="nil"/>
                <w:left w:val="nil"/>
                <w:bottom w:val="nil"/>
                <w:right w:val="nil"/>
                <w:between w:val="nil"/>
              </w:pBdr>
              <w:spacing w:line="276" w:lineRule="auto"/>
              <w:rPr>
                <w:b/>
                <w:bCs/>
                <w:color w:val="000000"/>
                <w:sz w:val="28"/>
                <w:szCs w:val="28"/>
              </w:rPr>
            </w:pPr>
            <w:r>
              <w:rPr>
                <w:b/>
                <w:bCs/>
                <w:color w:val="000000"/>
                <w:sz w:val="28"/>
                <w:szCs w:val="28"/>
              </w:rPr>
              <w:t xml:space="preserve">Fonetika </w:t>
            </w:r>
          </w:p>
        </w:tc>
        <w:tc>
          <w:tcPr>
            <w:tcW w:w="6236" w:type="dxa"/>
          </w:tcPr>
          <w:p w:rsidR="00D21734" w:rsidRDefault="00BE4B9A">
            <w:pPr>
              <w:spacing w:line="276" w:lineRule="auto"/>
              <w:jc w:val="both"/>
              <w:rPr>
                <w:color w:val="000000"/>
                <w:sz w:val="28"/>
                <w:szCs w:val="28"/>
              </w:rPr>
            </w:pPr>
            <w:r>
              <w:rPr>
                <w:color w:val="000000"/>
                <w:sz w:val="28"/>
                <w:szCs w:val="28"/>
              </w:rPr>
              <w:t>- Minimal juftliklar (minimal pairs) orqali ma’no farqlovchi tovushlarni kontekstga qarab ajratish (masalan: ship/sheep, bad/bed);</w:t>
            </w:r>
          </w:p>
          <w:p w:rsidR="00D21734" w:rsidRDefault="00BE4B9A">
            <w:pPr>
              <w:spacing w:line="276" w:lineRule="auto"/>
              <w:jc w:val="both"/>
              <w:rPr>
                <w:color w:val="000000"/>
                <w:sz w:val="28"/>
                <w:szCs w:val="28"/>
              </w:rPr>
            </w:pPr>
            <w:r>
              <w:rPr>
                <w:color w:val="000000"/>
                <w:sz w:val="28"/>
                <w:szCs w:val="28"/>
              </w:rPr>
              <w:t>Ikki va undan ortiq bo‘g‘inli so‘zlarda asosiy urg‘u (primary stress) tushadigan bo‘g‘inni aniqlash;</w:t>
            </w:r>
          </w:p>
          <w:p w:rsidR="00D21734" w:rsidRDefault="00BE4B9A">
            <w:pPr>
              <w:spacing w:line="276" w:lineRule="auto"/>
              <w:jc w:val="both"/>
              <w:rPr>
                <w:color w:val="000000"/>
                <w:sz w:val="28"/>
                <w:szCs w:val="28"/>
              </w:rPr>
            </w:pPr>
            <w:r>
              <w:rPr>
                <w:color w:val="000000"/>
                <w:sz w:val="28"/>
                <w:szCs w:val="28"/>
              </w:rPr>
              <w:t>Gapning mazmuniga qarab mantiqiy urg‘u (sentence stress) qaysi so‘zga tushishini belgilash;</w:t>
            </w:r>
          </w:p>
          <w:p w:rsidR="00D21734" w:rsidRDefault="00BE4B9A">
            <w:pPr>
              <w:spacing w:line="276" w:lineRule="auto"/>
              <w:jc w:val="both"/>
              <w:rPr>
                <w:color w:val="000000"/>
                <w:sz w:val="28"/>
                <w:szCs w:val="28"/>
              </w:rPr>
            </w:pPr>
            <w:r>
              <w:rPr>
                <w:color w:val="000000"/>
                <w:sz w:val="28"/>
                <w:szCs w:val="28"/>
              </w:rPr>
              <w:t>Savol turlari yoki his-tuyg‘u ifodasiga ko‘ra ohangning ko‘tarilishi yoki pasayishini (rising/falling intonation) to‘g‘ri ko‘rsatilgan variantni tanlash.</w:t>
            </w:r>
          </w:p>
        </w:tc>
        <w:tc>
          <w:tcPr>
            <w:tcW w:w="1276" w:type="dxa"/>
            <w:vAlign w:val="center"/>
          </w:tcPr>
          <w:p w:rsidR="00D21734" w:rsidRDefault="00BE4B9A">
            <w:pPr>
              <w:pBdr>
                <w:top w:val="nil"/>
                <w:left w:val="nil"/>
                <w:bottom w:val="nil"/>
                <w:right w:val="nil"/>
                <w:between w:val="nil"/>
              </w:pBdr>
              <w:spacing w:line="276" w:lineRule="auto"/>
              <w:jc w:val="center"/>
              <w:rPr>
                <w:color w:val="000000"/>
                <w:sz w:val="28"/>
                <w:szCs w:val="28"/>
              </w:rPr>
            </w:pPr>
            <w:r>
              <w:rPr>
                <w:color w:val="000000"/>
                <w:sz w:val="28"/>
                <w:szCs w:val="28"/>
              </w:rPr>
              <w:t>4</w:t>
            </w:r>
          </w:p>
        </w:tc>
      </w:tr>
      <w:tr w:rsidR="00D21734">
        <w:trPr>
          <w:cantSplit/>
          <w:trHeight w:val="2172"/>
        </w:trPr>
        <w:tc>
          <w:tcPr>
            <w:tcW w:w="1844" w:type="dxa"/>
            <w:vAlign w:val="center"/>
          </w:tcPr>
          <w:p w:rsidR="00D21734" w:rsidRDefault="00BE4B9A">
            <w:pPr>
              <w:pBdr>
                <w:top w:val="nil"/>
                <w:left w:val="nil"/>
                <w:bottom w:val="nil"/>
                <w:right w:val="nil"/>
                <w:between w:val="nil"/>
              </w:pBdr>
              <w:spacing w:line="276" w:lineRule="auto"/>
              <w:rPr>
                <w:b/>
                <w:bCs/>
                <w:color w:val="000000"/>
                <w:sz w:val="28"/>
                <w:szCs w:val="28"/>
              </w:rPr>
            </w:pPr>
            <w:r>
              <w:rPr>
                <w:b/>
                <w:bCs/>
                <w:color w:val="000000"/>
                <w:sz w:val="28"/>
                <w:szCs w:val="28"/>
              </w:rPr>
              <w:t>Grammatika</w:t>
            </w:r>
          </w:p>
        </w:tc>
        <w:tc>
          <w:tcPr>
            <w:tcW w:w="6236" w:type="dxa"/>
          </w:tcPr>
          <w:p w:rsidR="00D21734" w:rsidRDefault="00BE4B9A">
            <w:pPr>
              <w:spacing w:line="276" w:lineRule="auto"/>
              <w:jc w:val="both"/>
              <w:rPr>
                <w:color w:val="000000"/>
                <w:sz w:val="28"/>
                <w:szCs w:val="28"/>
              </w:rPr>
            </w:pPr>
            <w:r>
              <w:rPr>
                <w:sz w:val="28"/>
                <w:szCs w:val="28"/>
              </w:rPr>
              <w:t xml:space="preserve">- </w:t>
            </w:r>
            <w:r>
              <w:rPr>
                <w:color w:val="000000"/>
                <w:sz w:val="28"/>
                <w:szCs w:val="28"/>
              </w:rPr>
              <w:t xml:space="preserve">grammatik strukturaning nomini va qo‘llanilish o‘rinlarini </w:t>
            </w:r>
            <w:r>
              <w:rPr>
                <w:sz w:val="28"/>
                <w:szCs w:val="28"/>
              </w:rPr>
              <w:t>tanlash</w:t>
            </w:r>
            <w:r>
              <w:rPr>
                <w:color w:val="000000"/>
                <w:sz w:val="28"/>
                <w:szCs w:val="28"/>
              </w:rPr>
              <w:t>;</w:t>
            </w:r>
          </w:p>
          <w:p w:rsidR="00D21734" w:rsidRDefault="00BE4B9A">
            <w:pPr>
              <w:spacing w:line="276" w:lineRule="auto"/>
              <w:jc w:val="both"/>
              <w:rPr>
                <w:color w:val="000000"/>
                <w:sz w:val="28"/>
                <w:szCs w:val="28"/>
              </w:rPr>
            </w:pPr>
            <w:r>
              <w:rPr>
                <w:sz w:val="28"/>
                <w:szCs w:val="28"/>
              </w:rPr>
              <w:t xml:space="preserve">- </w:t>
            </w:r>
            <w:r>
              <w:rPr>
                <w:color w:val="000000"/>
                <w:sz w:val="28"/>
                <w:szCs w:val="28"/>
              </w:rPr>
              <w:t>berilgan kontekstga mos grammatik birlik tanlash;</w:t>
            </w:r>
          </w:p>
          <w:p w:rsidR="00D21734" w:rsidRDefault="00BE4B9A">
            <w:pPr>
              <w:spacing w:line="276" w:lineRule="auto"/>
              <w:jc w:val="both"/>
              <w:rPr>
                <w:color w:val="000000"/>
                <w:sz w:val="28"/>
                <w:szCs w:val="28"/>
              </w:rPr>
            </w:pPr>
            <w:r>
              <w:rPr>
                <w:sz w:val="28"/>
                <w:szCs w:val="28"/>
              </w:rPr>
              <w:t xml:space="preserve">- </w:t>
            </w:r>
            <w:r>
              <w:rPr>
                <w:color w:val="000000"/>
                <w:sz w:val="28"/>
                <w:szCs w:val="28"/>
              </w:rPr>
              <w:t>berilgan nutq namunasida grammatik xatoni topish va tushuntirish;</w:t>
            </w:r>
          </w:p>
          <w:p w:rsidR="00D21734" w:rsidRDefault="00BE4B9A">
            <w:pPr>
              <w:spacing w:line="276" w:lineRule="auto"/>
              <w:jc w:val="both"/>
              <w:rPr>
                <w:color w:val="000000"/>
                <w:sz w:val="28"/>
                <w:szCs w:val="28"/>
              </w:rPr>
            </w:pPr>
            <w:r>
              <w:rPr>
                <w:sz w:val="28"/>
                <w:szCs w:val="28"/>
              </w:rPr>
              <w:t xml:space="preserve">- </w:t>
            </w:r>
            <w:r>
              <w:rPr>
                <w:color w:val="000000"/>
                <w:sz w:val="28"/>
                <w:szCs w:val="28"/>
              </w:rPr>
              <w:t>berilgan gap yoki jumlani grammatik transformatsiya qilish (o‘zgartirish)</w:t>
            </w:r>
            <w:r>
              <w:rPr>
                <w:sz w:val="28"/>
                <w:szCs w:val="28"/>
              </w:rPr>
              <w:t>;</w:t>
            </w:r>
          </w:p>
          <w:p w:rsidR="00D21734" w:rsidRDefault="00BE4B9A">
            <w:pPr>
              <w:spacing w:line="276" w:lineRule="auto"/>
              <w:jc w:val="both"/>
              <w:rPr>
                <w:sz w:val="28"/>
                <w:szCs w:val="28"/>
              </w:rPr>
            </w:pPr>
            <w:r>
              <w:rPr>
                <w:sz w:val="28"/>
                <w:szCs w:val="28"/>
              </w:rPr>
              <w:t>- grammatik xato sababini berilgan variantlar ichidan tanlash;</w:t>
            </w:r>
          </w:p>
          <w:p w:rsidR="00D21734" w:rsidRDefault="00BE4B9A">
            <w:pPr>
              <w:spacing w:line="276" w:lineRule="auto"/>
              <w:jc w:val="both"/>
              <w:rPr>
                <w:sz w:val="28"/>
                <w:szCs w:val="28"/>
              </w:rPr>
            </w:pPr>
            <w:r>
              <w:rPr>
                <w:sz w:val="28"/>
                <w:szCs w:val="28"/>
              </w:rPr>
              <w:t>- berilgan gapning grammatik jihatdan to‘g‘ri o‘zgartirilgan variantini aniqlash;</w:t>
            </w:r>
          </w:p>
          <w:p w:rsidR="00D21734" w:rsidRDefault="00BE4B9A">
            <w:pPr>
              <w:spacing w:line="276" w:lineRule="auto"/>
              <w:jc w:val="both"/>
              <w:rPr>
                <w:color w:val="000000"/>
                <w:sz w:val="28"/>
                <w:szCs w:val="28"/>
              </w:rPr>
            </w:pPr>
            <w:r>
              <w:rPr>
                <w:sz w:val="28"/>
                <w:szCs w:val="28"/>
              </w:rPr>
              <w:t>- o‘xshash grammatik shakllardan ma’noga eng mosini tanlash.</w:t>
            </w:r>
          </w:p>
        </w:tc>
        <w:tc>
          <w:tcPr>
            <w:tcW w:w="1276" w:type="dxa"/>
            <w:vAlign w:val="center"/>
          </w:tcPr>
          <w:p w:rsidR="00D21734" w:rsidRDefault="00BE4B9A">
            <w:pPr>
              <w:pBdr>
                <w:top w:val="nil"/>
                <w:left w:val="nil"/>
                <w:bottom w:val="nil"/>
                <w:right w:val="nil"/>
                <w:between w:val="nil"/>
              </w:pBdr>
              <w:spacing w:line="276" w:lineRule="auto"/>
              <w:jc w:val="center"/>
              <w:rPr>
                <w:color w:val="000000"/>
                <w:sz w:val="28"/>
                <w:szCs w:val="28"/>
              </w:rPr>
            </w:pPr>
            <w:r>
              <w:rPr>
                <w:color w:val="000000"/>
                <w:sz w:val="28"/>
                <w:szCs w:val="28"/>
              </w:rPr>
              <w:t>1</w:t>
            </w:r>
            <w:r>
              <w:rPr>
                <w:sz w:val="28"/>
                <w:szCs w:val="28"/>
              </w:rPr>
              <w:t>3</w:t>
            </w:r>
          </w:p>
        </w:tc>
      </w:tr>
      <w:tr w:rsidR="00D21734">
        <w:trPr>
          <w:cantSplit/>
          <w:trHeight w:val="2172"/>
        </w:trPr>
        <w:tc>
          <w:tcPr>
            <w:tcW w:w="1844" w:type="dxa"/>
            <w:vAlign w:val="center"/>
          </w:tcPr>
          <w:p w:rsidR="00D21734" w:rsidRDefault="00BE4B9A">
            <w:pPr>
              <w:pBdr>
                <w:top w:val="nil"/>
                <w:left w:val="nil"/>
                <w:bottom w:val="nil"/>
                <w:right w:val="nil"/>
                <w:between w:val="nil"/>
              </w:pBdr>
              <w:spacing w:line="276" w:lineRule="auto"/>
              <w:rPr>
                <w:b/>
                <w:bCs/>
                <w:sz w:val="28"/>
                <w:szCs w:val="28"/>
              </w:rPr>
            </w:pPr>
            <w:r>
              <w:rPr>
                <w:b/>
                <w:bCs/>
                <w:sz w:val="28"/>
                <w:szCs w:val="28"/>
              </w:rPr>
              <w:t>Leksika</w:t>
            </w:r>
          </w:p>
        </w:tc>
        <w:tc>
          <w:tcPr>
            <w:tcW w:w="6236" w:type="dxa"/>
          </w:tcPr>
          <w:p w:rsidR="00D21734" w:rsidRDefault="00BE4B9A">
            <w:pPr>
              <w:spacing w:line="276" w:lineRule="auto"/>
              <w:jc w:val="both"/>
              <w:rPr>
                <w:color w:val="000000"/>
                <w:sz w:val="28"/>
                <w:szCs w:val="28"/>
              </w:rPr>
            </w:pPr>
            <w:r>
              <w:rPr>
                <w:sz w:val="28"/>
                <w:szCs w:val="28"/>
              </w:rPr>
              <w:t xml:space="preserve">- </w:t>
            </w:r>
            <w:r>
              <w:rPr>
                <w:color w:val="000000"/>
                <w:sz w:val="28"/>
                <w:szCs w:val="28"/>
              </w:rPr>
              <w:t>berilgan kontekstga mos leksik birlikni tanlash;</w:t>
            </w:r>
          </w:p>
          <w:p w:rsidR="00D21734" w:rsidRDefault="00BE4B9A">
            <w:pPr>
              <w:spacing w:line="276" w:lineRule="auto"/>
              <w:jc w:val="both"/>
              <w:rPr>
                <w:sz w:val="28"/>
                <w:szCs w:val="28"/>
              </w:rPr>
            </w:pPr>
            <w:r>
              <w:rPr>
                <w:sz w:val="28"/>
                <w:szCs w:val="28"/>
              </w:rPr>
              <w:t>- berilgan leksik birlikning kontekstdagi ma’nosini aniqlash;</w:t>
            </w:r>
          </w:p>
          <w:p w:rsidR="00D21734" w:rsidRDefault="00BE4B9A">
            <w:pPr>
              <w:spacing w:line="276" w:lineRule="auto"/>
              <w:jc w:val="both"/>
              <w:rPr>
                <w:sz w:val="28"/>
                <w:szCs w:val="28"/>
              </w:rPr>
            </w:pPr>
            <w:r>
              <w:rPr>
                <w:sz w:val="28"/>
                <w:szCs w:val="28"/>
              </w:rPr>
              <w:t>- berilgan leksik birlikka kontekstga mos sinonimni tanlash;</w:t>
            </w:r>
          </w:p>
          <w:p w:rsidR="00D21734" w:rsidRDefault="00BE4B9A">
            <w:pPr>
              <w:spacing w:line="276" w:lineRule="auto"/>
              <w:jc w:val="both"/>
              <w:rPr>
                <w:color w:val="000000"/>
                <w:sz w:val="28"/>
                <w:szCs w:val="28"/>
              </w:rPr>
            </w:pPr>
            <w:r>
              <w:rPr>
                <w:sz w:val="28"/>
                <w:szCs w:val="28"/>
              </w:rPr>
              <w:t xml:space="preserve">- </w:t>
            </w:r>
            <w:r>
              <w:rPr>
                <w:color w:val="000000"/>
                <w:sz w:val="28"/>
                <w:szCs w:val="28"/>
              </w:rPr>
              <w:t>so‘z yasalishi qoidalari asosida berilgan konstekstga mos so‘z yasash;</w:t>
            </w:r>
          </w:p>
          <w:p w:rsidR="00D21734" w:rsidRDefault="00BE4B9A">
            <w:pPr>
              <w:spacing w:line="276" w:lineRule="auto"/>
              <w:jc w:val="both"/>
              <w:rPr>
                <w:sz w:val="28"/>
                <w:szCs w:val="28"/>
              </w:rPr>
            </w:pPr>
            <w:r>
              <w:rPr>
                <w:sz w:val="28"/>
                <w:szCs w:val="28"/>
              </w:rPr>
              <w:t>- ma’nosi yaqin bo‘lgan leksik birliklar orasidan kontekstga eng mosini tanlash (near-synonyms: say / tell / speak / talk).</w:t>
            </w:r>
          </w:p>
        </w:tc>
        <w:tc>
          <w:tcPr>
            <w:tcW w:w="1276" w:type="dxa"/>
            <w:vAlign w:val="center"/>
          </w:tcPr>
          <w:p w:rsidR="00D21734" w:rsidRDefault="00BE4B9A">
            <w:pPr>
              <w:pBdr>
                <w:top w:val="nil"/>
                <w:left w:val="nil"/>
                <w:bottom w:val="nil"/>
                <w:right w:val="nil"/>
                <w:between w:val="nil"/>
              </w:pBdr>
              <w:spacing w:line="276" w:lineRule="auto"/>
              <w:jc w:val="center"/>
              <w:rPr>
                <w:color w:val="000000"/>
                <w:sz w:val="28"/>
                <w:szCs w:val="28"/>
              </w:rPr>
            </w:pPr>
            <w:r>
              <w:rPr>
                <w:sz w:val="28"/>
                <w:szCs w:val="28"/>
              </w:rPr>
              <w:t>12</w:t>
            </w:r>
          </w:p>
        </w:tc>
      </w:tr>
      <w:tr w:rsidR="00D21734">
        <w:trPr>
          <w:cantSplit/>
          <w:trHeight w:val="660"/>
        </w:trPr>
        <w:tc>
          <w:tcPr>
            <w:tcW w:w="1844" w:type="dxa"/>
            <w:vAlign w:val="center"/>
          </w:tcPr>
          <w:p w:rsidR="00D21734" w:rsidRDefault="00BE4B9A">
            <w:pPr>
              <w:spacing w:line="276" w:lineRule="auto"/>
              <w:rPr>
                <w:b/>
                <w:bCs/>
                <w:sz w:val="28"/>
                <w:szCs w:val="28"/>
              </w:rPr>
            </w:pPr>
            <w:r>
              <w:rPr>
                <w:b/>
                <w:bCs/>
                <w:sz w:val="28"/>
                <w:szCs w:val="28"/>
              </w:rPr>
              <w:lastRenderedPageBreak/>
              <w:t xml:space="preserve">Pragmatika </w:t>
            </w:r>
          </w:p>
        </w:tc>
        <w:tc>
          <w:tcPr>
            <w:tcW w:w="6236" w:type="dxa"/>
          </w:tcPr>
          <w:p w:rsidR="00D21734" w:rsidRDefault="00BE4B9A">
            <w:pPr>
              <w:spacing w:line="276" w:lineRule="auto"/>
              <w:jc w:val="both"/>
              <w:rPr>
                <w:color w:val="000000"/>
                <w:sz w:val="28"/>
                <w:szCs w:val="28"/>
              </w:rPr>
            </w:pPr>
            <w:r>
              <w:rPr>
                <w:sz w:val="28"/>
                <w:szCs w:val="28"/>
              </w:rPr>
              <w:t xml:space="preserve">- </w:t>
            </w:r>
            <w:r>
              <w:rPr>
                <w:color w:val="000000"/>
                <w:sz w:val="28"/>
                <w:szCs w:val="28"/>
              </w:rPr>
              <w:t>berilgan vaziyatga mos og‘zaki va (yoki) yozma nutq namunasini tanlash;</w:t>
            </w:r>
          </w:p>
          <w:p w:rsidR="00D21734" w:rsidRDefault="00BE4B9A">
            <w:pPr>
              <w:spacing w:line="276" w:lineRule="auto"/>
              <w:jc w:val="both"/>
              <w:rPr>
                <w:color w:val="000000"/>
                <w:sz w:val="28"/>
                <w:szCs w:val="28"/>
              </w:rPr>
            </w:pPr>
            <w:r>
              <w:rPr>
                <w:sz w:val="28"/>
                <w:szCs w:val="28"/>
              </w:rPr>
              <w:t xml:space="preserve">- </w:t>
            </w:r>
            <w:r>
              <w:rPr>
                <w:color w:val="000000"/>
                <w:sz w:val="28"/>
                <w:szCs w:val="28"/>
              </w:rPr>
              <w:t xml:space="preserve">berilgan og‘zaki va (yoki) yozma nutq namunasining kontekstda nazarda tutilgan ma’nosini anglash </w:t>
            </w:r>
            <w:r>
              <w:rPr>
                <w:sz w:val="28"/>
                <w:szCs w:val="28"/>
              </w:rPr>
              <w:t>(literal meaning (to‘liq ma’no), irrelevant interpretation, opposite meaning, exaggerated meaning)</w:t>
            </w:r>
            <w:r>
              <w:rPr>
                <w:color w:val="000000"/>
                <w:sz w:val="28"/>
                <w:szCs w:val="28"/>
              </w:rPr>
              <w:t>;</w:t>
            </w:r>
          </w:p>
          <w:p w:rsidR="00D21734" w:rsidRDefault="00BE4B9A">
            <w:pPr>
              <w:spacing w:line="276" w:lineRule="auto"/>
              <w:jc w:val="both"/>
              <w:rPr>
                <w:color w:val="000000"/>
                <w:sz w:val="28"/>
                <w:szCs w:val="28"/>
              </w:rPr>
            </w:pPr>
            <w:r>
              <w:rPr>
                <w:sz w:val="28"/>
                <w:szCs w:val="28"/>
              </w:rPr>
              <w:t xml:space="preserve">- </w:t>
            </w:r>
            <w:r>
              <w:rPr>
                <w:color w:val="000000"/>
                <w:sz w:val="28"/>
                <w:szCs w:val="28"/>
              </w:rPr>
              <w:t>berilgan og‘zaki va (yoki) yozma nutq namunasining ijtimoiy va kommunikativ jihatdan kontekstga mosligiga baho berish.</w:t>
            </w:r>
          </w:p>
          <w:p w:rsidR="00D21734" w:rsidRDefault="00BE4B9A">
            <w:pPr>
              <w:spacing w:line="276" w:lineRule="auto"/>
              <w:jc w:val="both"/>
              <w:rPr>
                <w:sz w:val="28"/>
                <w:szCs w:val="28"/>
              </w:rPr>
            </w:pPr>
            <w:r>
              <w:rPr>
                <w:sz w:val="28"/>
                <w:szCs w:val="28"/>
              </w:rPr>
              <w:t xml:space="preserve">- diskurs (suhbat) asosida mos javobni tanlash (random statement, off-topic comment, irrelevant fact, confusing remark); </w:t>
            </w:r>
          </w:p>
          <w:p w:rsidR="00D21734" w:rsidRDefault="00BE4B9A">
            <w:pPr>
              <w:spacing w:line="276" w:lineRule="auto"/>
              <w:jc w:val="both"/>
              <w:rPr>
                <w:sz w:val="28"/>
                <w:szCs w:val="28"/>
              </w:rPr>
            </w:pPr>
            <w:r>
              <w:rPr>
                <w:sz w:val="28"/>
                <w:szCs w:val="28"/>
              </w:rPr>
              <w:t xml:space="preserve">- berilgan kontekstga mos muloqot strategiyasini aniqlash (making suggestion instead of request, giving unrelated information, expressing opinion instead of asking, ignoring speaker’s intent); </w:t>
            </w:r>
          </w:p>
          <w:p w:rsidR="00D21734" w:rsidRDefault="00BE4B9A">
            <w:pPr>
              <w:spacing w:line="276" w:lineRule="auto"/>
              <w:jc w:val="both"/>
              <w:rPr>
                <w:sz w:val="28"/>
                <w:szCs w:val="28"/>
              </w:rPr>
            </w:pPr>
            <w:r>
              <w:rPr>
                <w:sz w:val="28"/>
                <w:szCs w:val="28"/>
              </w:rPr>
              <w:t>- xohish yoki niyatni farqlash (giving direct order, expressing anger, asking irrelevant question, making a statement unrelated to intent).</w:t>
            </w:r>
          </w:p>
        </w:tc>
        <w:tc>
          <w:tcPr>
            <w:tcW w:w="1276" w:type="dxa"/>
            <w:vAlign w:val="center"/>
          </w:tcPr>
          <w:p w:rsidR="00D21734" w:rsidRDefault="00BE4B9A">
            <w:pPr>
              <w:pBdr>
                <w:top w:val="nil"/>
                <w:left w:val="nil"/>
                <w:bottom w:val="nil"/>
                <w:right w:val="nil"/>
                <w:between w:val="nil"/>
              </w:pBdr>
              <w:spacing w:line="276" w:lineRule="auto"/>
              <w:jc w:val="center"/>
              <w:rPr>
                <w:color w:val="000000"/>
                <w:sz w:val="28"/>
                <w:szCs w:val="28"/>
              </w:rPr>
            </w:pPr>
            <w:r>
              <w:rPr>
                <w:color w:val="000000"/>
                <w:sz w:val="28"/>
                <w:szCs w:val="28"/>
              </w:rPr>
              <w:t>6</w:t>
            </w:r>
          </w:p>
        </w:tc>
      </w:tr>
      <w:tr w:rsidR="00D21734">
        <w:trPr>
          <w:cantSplit/>
          <w:trHeight w:val="194"/>
        </w:trPr>
        <w:tc>
          <w:tcPr>
            <w:tcW w:w="9356" w:type="dxa"/>
            <w:gridSpan w:val="3"/>
            <w:vAlign w:val="center"/>
          </w:tcPr>
          <w:p w:rsidR="00D21734" w:rsidRDefault="00BE4B9A">
            <w:pPr>
              <w:pBdr>
                <w:top w:val="nil"/>
                <w:left w:val="nil"/>
                <w:bottom w:val="nil"/>
                <w:right w:val="nil"/>
                <w:between w:val="nil"/>
              </w:pBdr>
              <w:jc w:val="center"/>
              <w:rPr>
                <w:color w:val="000000"/>
                <w:sz w:val="28"/>
                <w:szCs w:val="28"/>
                <w:highlight w:val="yellow"/>
              </w:rPr>
            </w:pPr>
            <w:r>
              <w:rPr>
                <w:b/>
                <w:bCs/>
                <w:sz w:val="28"/>
                <w:szCs w:val="28"/>
              </w:rPr>
              <w:t>2</w:t>
            </w:r>
            <w:r>
              <w:rPr>
                <w:b/>
                <w:bCs/>
                <w:color w:val="000000"/>
                <w:sz w:val="28"/>
                <w:szCs w:val="28"/>
              </w:rPr>
              <w:t xml:space="preserve">. </w:t>
            </w:r>
            <w:r>
              <w:rPr>
                <w:b/>
                <w:bCs/>
                <w:sz w:val="28"/>
                <w:szCs w:val="28"/>
              </w:rPr>
              <w:t>Oʻqib tushunish (36 - 40 savollar)</w:t>
            </w:r>
          </w:p>
        </w:tc>
      </w:tr>
      <w:tr w:rsidR="00D21734">
        <w:trPr>
          <w:cantSplit/>
          <w:trHeight w:val="846"/>
        </w:trPr>
        <w:tc>
          <w:tcPr>
            <w:tcW w:w="1844" w:type="dxa"/>
            <w:vAlign w:val="center"/>
          </w:tcPr>
          <w:p w:rsidR="00D21734" w:rsidRDefault="00BE4B9A">
            <w:pPr>
              <w:pBdr>
                <w:top w:val="nil"/>
                <w:left w:val="nil"/>
                <w:bottom w:val="nil"/>
                <w:right w:val="nil"/>
                <w:between w:val="nil"/>
              </w:pBdr>
              <w:spacing w:line="276" w:lineRule="auto"/>
              <w:rPr>
                <w:b/>
                <w:bCs/>
                <w:color w:val="000000"/>
                <w:sz w:val="28"/>
                <w:szCs w:val="28"/>
              </w:rPr>
            </w:pPr>
            <w:r>
              <w:rPr>
                <w:b/>
                <w:bCs/>
                <w:sz w:val="28"/>
                <w:szCs w:val="28"/>
              </w:rPr>
              <w:t xml:space="preserve">O‘qib tushunish </w:t>
            </w:r>
          </w:p>
        </w:tc>
        <w:tc>
          <w:tcPr>
            <w:tcW w:w="6236" w:type="dxa"/>
          </w:tcPr>
          <w:p w:rsidR="00D21734" w:rsidRDefault="00BE4B9A">
            <w:pPr>
              <w:spacing w:line="276" w:lineRule="auto"/>
              <w:jc w:val="both"/>
              <w:rPr>
                <w:color w:val="000000"/>
                <w:sz w:val="28"/>
                <w:szCs w:val="28"/>
              </w:rPr>
            </w:pPr>
            <w:r>
              <w:rPr>
                <w:sz w:val="28"/>
                <w:szCs w:val="28"/>
              </w:rPr>
              <w:t xml:space="preserve">- </w:t>
            </w:r>
            <w:r>
              <w:rPr>
                <w:color w:val="000000"/>
                <w:sz w:val="28"/>
                <w:szCs w:val="28"/>
              </w:rPr>
              <w:t>matnning asosiy g‘oyasi, maqsadi va auditoriyasini, muallif pozitsiyasini aniqlash;</w:t>
            </w:r>
          </w:p>
          <w:p w:rsidR="00D21734" w:rsidRDefault="00BE4B9A">
            <w:pPr>
              <w:spacing w:line="276" w:lineRule="auto"/>
              <w:jc w:val="both"/>
              <w:rPr>
                <w:color w:val="000000"/>
                <w:sz w:val="28"/>
                <w:szCs w:val="28"/>
              </w:rPr>
            </w:pPr>
            <w:r>
              <w:rPr>
                <w:sz w:val="28"/>
                <w:szCs w:val="28"/>
              </w:rPr>
              <w:t xml:space="preserve">- </w:t>
            </w:r>
            <w:r>
              <w:rPr>
                <w:color w:val="000000"/>
                <w:sz w:val="28"/>
                <w:szCs w:val="28"/>
              </w:rPr>
              <w:t>matnda ochiq aytilmagan ma’lumotlar, fikrlar, g‘oyalarni anglash;</w:t>
            </w:r>
          </w:p>
          <w:p w:rsidR="00D21734" w:rsidRDefault="00BE4B9A">
            <w:pPr>
              <w:spacing w:line="276" w:lineRule="auto"/>
              <w:jc w:val="both"/>
              <w:rPr>
                <w:color w:val="000000"/>
                <w:sz w:val="28"/>
                <w:szCs w:val="28"/>
              </w:rPr>
            </w:pPr>
            <w:r>
              <w:rPr>
                <w:sz w:val="28"/>
                <w:szCs w:val="28"/>
              </w:rPr>
              <w:t xml:space="preserve">- </w:t>
            </w:r>
            <w:r>
              <w:rPr>
                <w:color w:val="000000"/>
                <w:sz w:val="28"/>
                <w:szCs w:val="28"/>
              </w:rPr>
              <w:t>matndagi fakt va fikrni farqlash;</w:t>
            </w:r>
          </w:p>
          <w:p w:rsidR="00D21734" w:rsidRDefault="00BE4B9A">
            <w:pPr>
              <w:spacing w:line="276" w:lineRule="auto"/>
              <w:jc w:val="both"/>
              <w:rPr>
                <w:color w:val="000000"/>
                <w:sz w:val="28"/>
                <w:szCs w:val="28"/>
              </w:rPr>
            </w:pPr>
            <w:r>
              <w:rPr>
                <w:sz w:val="28"/>
                <w:szCs w:val="28"/>
              </w:rPr>
              <w:t xml:space="preserve">- </w:t>
            </w:r>
            <w:r>
              <w:rPr>
                <w:color w:val="000000"/>
                <w:sz w:val="28"/>
                <w:szCs w:val="28"/>
              </w:rPr>
              <w:t>matnda tasvirlangan voqealar ketma-ketligini tushunish;</w:t>
            </w:r>
          </w:p>
          <w:p w:rsidR="00D21734" w:rsidRDefault="00BE4B9A">
            <w:pPr>
              <w:spacing w:line="276" w:lineRule="auto"/>
              <w:jc w:val="both"/>
              <w:rPr>
                <w:sz w:val="28"/>
                <w:szCs w:val="28"/>
              </w:rPr>
            </w:pPr>
            <w:r>
              <w:rPr>
                <w:sz w:val="28"/>
                <w:szCs w:val="28"/>
              </w:rPr>
              <w:t>- matn qismlari o‘rtasidagi mantiqiy va diskursiv bog‘lanishlarni tushunish (masalan, sabab-oqibat, qarama-qarshilik, izohlash, ketma-ketlik).</w:t>
            </w:r>
          </w:p>
        </w:tc>
        <w:tc>
          <w:tcPr>
            <w:tcW w:w="1276" w:type="dxa"/>
            <w:vAlign w:val="center"/>
          </w:tcPr>
          <w:p w:rsidR="00D21734" w:rsidRDefault="00BE4B9A">
            <w:pPr>
              <w:pBdr>
                <w:top w:val="nil"/>
                <w:left w:val="nil"/>
                <w:bottom w:val="nil"/>
                <w:right w:val="nil"/>
                <w:between w:val="nil"/>
              </w:pBdr>
              <w:spacing w:line="276" w:lineRule="auto"/>
              <w:jc w:val="center"/>
              <w:rPr>
                <w:color w:val="000000"/>
                <w:sz w:val="28"/>
                <w:szCs w:val="28"/>
                <w:highlight w:val="yellow"/>
              </w:rPr>
            </w:pPr>
            <w:r>
              <w:rPr>
                <w:color w:val="000000"/>
                <w:sz w:val="28"/>
                <w:szCs w:val="28"/>
              </w:rPr>
              <w:t>5</w:t>
            </w:r>
          </w:p>
        </w:tc>
      </w:tr>
      <w:tr w:rsidR="00D21734">
        <w:trPr>
          <w:cantSplit/>
          <w:trHeight w:val="239"/>
        </w:trPr>
        <w:tc>
          <w:tcPr>
            <w:tcW w:w="8080" w:type="dxa"/>
            <w:gridSpan w:val="2"/>
            <w:vAlign w:val="center"/>
          </w:tcPr>
          <w:p w:rsidR="00D21734" w:rsidRDefault="00BE4B9A">
            <w:pPr>
              <w:spacing w:line="276" w:lineRule="auto"/>
              <w:jc w:val="center"/>
              <w:rPr>
                <w:b/>
                <w:bCs/>
                <w:sz w:val="28"/>
                <w:szCs w:val="28"/>
              </w:rPr>
            </w:pPr>
            <w:r>
              <w:rPr>
                <w:b/>
                <w:bCs/>
                <w:sz w:val="28"/>
                <w:szCs w:val="28"/>
              </w:rPr>
              <w:t>II. PEDAGOGIK MAHORAT</w:t>
            </w:r>
          </w:p>
        </w:tc>
        <w:tc>
          <w:tcPr>
            <w:tcW w:w="1276" w:type="dxa"/>
            <w:vAlign w:val="center"/>
          </w:tcPr>
          <w:p w:rsidR="00D21734" w:rsidRDefault="00BE4B9A">
            <w:pPr>
              <w:pBdr>
                <w:top w:val="nil"/>
                <w:left w:val="nil"/>
                <w:bottom w:val="nil"/>
                <w:right w:val="nil"/>
                <w:between w:val="nil"/>
              </w:pBdr>
              <w:spacing w:line="276" w:lineRule="auto"/>
              <w:jc w:val="center"/>
              <w:rPr>
                <w:b/>
                <w:bCs/>
                <w:color w:val="000000"/>
                <w:sz w:val="28"/>
                <w:szCs w:val="28"/>
              </w:rPr>
            </w:pPr>
            <w:r>
              <w:rPr>
                <w:b/>
                <w:bCs/>
                <w:color w:val="000000"/>
                <w:sz w:val="28"/>
                <w:szCs w:val="28"/>
              </w:rPr>
              <w:t>10 ta</w:t>
            </w:r>
          </w:p>
        </w:tc>
      </w:tr>
      <w:tr w:rsidR="00D21734">
        <w:trPr>
          <w:cantSplit/>
          <w:trHeight w:val="146"/>
        </w:trPr>
        <w:tc>
          <w:tcPr>
            <w:tcW w:w="1844" w:type="dxa"/>
            <w:vAlign w:val="center"/>
          </w:tcPr>
          <w:p w:rsidR="00D21734" w:rsidRDefault="00BE4B9A">
            <w:pPr>
              <w:pBdr>
                <w:top w:val="nil"/>
                <w:left w:val="nil"/>
                <w:bottom w:val="nil"/>
                <w:right w:val="nil"/>
                <w:between w:val="nil"/>
              </w:pBdr>
              <w:spacing w:line="276" w:lineRule="auto"/>
              <w:rPr>
                <w:b/>
                <w:bCs/>
                <w:sz w:val="28"/>
                <w:szCs w:val="28"/>
              </w:rPr>
            </w:pPr>
            <w:r>
              <w:rPr>
                <w:b/>
                <w:bCs/>
                <w:sz w:val="28"/>
                <w:szCs w:val="28"/>
              </w:rPr>
              <w:t>Umumiy pedagogika va pedagogik mahorat</w:t>
            </w:r>
          </w:p>
        </w:tc>
        <w:tc>
          <w:tcPr>
            <w:tcW w:w="6236" w:type="dxa"/>
          </w:tcPr>
          <w:p w:rsidR="00D21734" w:rsidRDefault="00BE4B9A">
            <w:pPr>
              <w:spacing w:line="276" w:lineRule="auto"/>
              <w:jc w:val="both"/>
              <w:rPr>
                <w:sz w:val="28"/>
                <w:szCs w:val="28"/>
              </w:rPr>
            </w:pPr>
            <w:r>
              <w:rPr>
                <w:sz w:val="28"/>
                <w:szCs w:val="28"/>
              </w:rPr>
              <w:t>- darsni rejalashtirish va sinfni boshqarishdagi umumiy yondashuvlarni bilish;</w:t>
            </w:r>
          </w:p>
          <w:p w:rsidR="00D21734" w:rsidRDefault="00BE4B9A">
            <w:pPr>
              <w:spacing w:line="276" w:lineRule="auto"/>
              <w:jc w:val="both"/>
              <w:rPr>
                <w:sz w:val="28"/>
                <w:szCs w:val="28"/>
              </w:rPr>
            </w:pPr>
            <w:r>
              <w:rPr>
                <w:sz w:val="28"/>
                <w:szCs w:val="28"/>
              </w:rPr>
              <w:t>- darsni rejalashtirish va sinfni boshqarish yondashuvlarini konkret vaziyatga (ssenariyga) qo‘llay olish;</w:t>
            </w:r>
          </w:p>
          <w:p w:rsidR="00D21734" w:rsidRDefault="00BE4B9A">
            <w:pPr>
              <w:spacing w:line="276" w:lineRule="auto"/>
              <w:jc w:val="both"/>
              <w:rPr>
                <w:sz w:val="28"/>
                <w:szCs w:val="28"/>
              </w:rPr>
            </w:pPr>
            <w:r>
              <w:rPr>
                <w:sz w:val="28"/>
                <w:szCs w:val="28"/>
              </w:rPr>
              <w:t>- darsni rejalashtirish yoki sinfni boshqarish bo‘yicha qarorning berilgan vaziyatda mosligiga baho berish.</w:t>
            </w:r>
          </w:p>
        </w:tc>
        <w:tc>
          <w:tcPr>
            <w:tcW w:w="1276" w:type="dxa"/>
            <w:vAlign w:val="center"/>
          </w:tcPr>
          <w:p w:rsidR="00D21734" w:rsidRDefault="00BE4B9A">
            <w:pPr>
              <w:pBdr>
                <w:top w:val="nil"/>
                <w:left w:val="nil"/>
                <w:bottom w:val="nil"/>
                <w:right w:val="nil"/>
                <w:between w:val="nil"/>
              </w:pBdr>
              <w:spacing w:line="276" w:lineRule="auto"/>
              <w:jc w:val="center"/>
              <w:rPr>
                <w:color w:val="000000"/>
                <w:sz w:val="28"/>
                <w:szCs w:val="28"/>
              </w:rPr>
            </w:pPr>
            <w:r>
              <w:rPr>
                <w:color w:val="000000"/>
                <w:sz w:val="28"/>
                <w:szCs w:val="28"/>
              </w:rPr>
              <w:t>5</w:t>
            </w:r>
          </w:p>
        </w:tc>
      </w:tr>
      <w:tr w:rsidR="00D21734">
        <w:trPr>
          <w:cantSplit/>
          <w:trHeight w:val="335"/>
        </w:trPr>
        <w:tc>
          <w:tcPr>
            <w:tcW w:w="1844" w:type="dxa"/>
            <w:vAlign w:val="center"/>
          </w:tcPr>
          <w:p w:rsidR="00D21734" w:rsidRDefault="00BE4B9A">
            <w:pPr>
              <w:pBdr>
                <w:top w:val="nil"/>
                <w:left w:val="nil"/>
                <w:bottom w:val="nil"/>
                <w:right w:val="nil"/>
                <w:between w:val="nil"/>
              </w:pBdr>
              <w:spacing w:line="276" w:lineRule="auto"/>
              <w:rPr>
                <w:b/>
                <w:bCs/>
                <w:sz w:val="28"/>
                <w:szCs w:val="28"/>
              </w:rPr>
            </w:pPr>
            <w:r>
              <w:rPr>
                <w:b/>
                <w:bCs/>
                <w:sz w:val="28"/>
                <w:szCs w:val="28"/>
              </w:rPr>
              <w:lastRenderedPageBreak/>
              <w:t>Fransuz tili o‘qitish metodikasi</w:t>
            </w:r>
          </w:p>
        </w:tc>
        <w:tc>
          <w:tcPr>
            <w:tcW w:w="6236" w:type="dxa"/>
          </w:tcPr>
          <w:p w:rsidR="00D21734" w:rsidRDefault="00BE4B9A">
            <w:pPr>
              <w:spacing w:line="276" w:lineRule="auto"/>
              <w:jc w:val="both"/>
              <w:rPr>
                <w:sz w:val="28"/>
                <w:szCs w:val="28"/>
              </w:rPr>
            </w:pPr>
            <w:r>
              <w:rPr>
                <w:sz w:val="28"/>
                <w:szCs w:val="28"/>
              </w:rPr>
              <w:t xml:space="preserve">- fransuz tili o‘qitish metodikasiga oid yondashuvlar, nazariy ramkalar </w:t>
            </w:r>
            <w:r>
              <w:rPr>
                <w:i/>
                <w:iCs/>
                <w:sz w:val="28"/>
                <w:szCs w:val="28"/>
              </w:rPr>
              <w:t xml:space="preserve">(framework) </w:t>
            </w:r>
            <w:r>
              <w:rPr>
                <w:sz w:val="28"/>
                <w:szCs w:val="28"/>
              </w:rPr>
              <w:t>va metodlarni farqlay olish;</w:t>
            </w:r>
          </w:p>
          <w:p w:rsidR="00D21734" w:rsidRDefault="00BE4B9A">
            <w:pPr>
              <w:spacing w:line="276" w:lineRule="auto"/>
              <w:jc w:val="both"/>
              <w:rPr>
                <w:sz w:val="28"/>
                <w:szCs w:val="28"/>
              </w:rPr>
            </w:pPr>
            <w:r>
              <w:rPr>
                <w:sz w:val="28"/>
                <w:szCs w:val="28"/>
              </w:rPr>
              <w:t>- fransuz tili o‘qitish metodikasiga oid yondashuvlar, nazariy ramkalar va metodlarga oid asosiy terminologiyani bilish;</w:t>
            </w:r>
          </w:p>
          <w:p w:rsidR="00D21734" w:rsidRDefault="00BE4B9A">
            <w:pPr>
              <w:spacing w:line="276" w:lineRule="auto"/>
              <w:jc w:val="both"/>
              <w:rPr>
                <w:sz w:val="28"/>
                <w:szCs w:val="28"/>
              </w:rPr>
            </w:pPr>
            <w:r>
              <w:rPr>
                <w:sz w:val="28"/>
                <w:szCs w:val="28"/>
              </w:rPr>
              <w:t>- berilgan yondashuv doirasida darsga oid qabul qilingan qarorlarga baho berish;</w:t>
            </w:r>
          </w:p>
          <w:p w:rsidR="00D21734" w:rsidRDefault="00BE4B9A">
            <w:pPr>
              <w:spacing w:line="276" w:lineRule="auto"/>
              <w:jc w:val="both"/>
              <w:rPr>
                <w:sz w:val="28"/>
                <w:szCs w:val="28"/>
              </w:rPr>
            </w:pPr>
            <w:r>
              <w:rPr>
                <w:sz w:val="28"/>
                <w:szCs w:val="28"/>
              </w:rPr>
              <w:t>- berilgan yondashuv doirasida vaziyatga (ssenariyga) mos harakat yoki faoliyat turini tanlash;</w:t>
            </w:r>
          </w:p>
          <w:p w:rsidR="00D21734" w:rsidRDefault="00BE4B9A">
            <w:pPr>
              <w:spacing w:line="276" w:lineRule="auto"/>
              <w:jc w:val="both"/>
              <w:rPr>
                <w:sz w:val="28"/>
                <w:szCs w:val="28"/>
              </w:rPr>
            </w:pPr>
            <w:r>
              <w:rPr>
                <w:sz w:val="28"/>
                <w:szCs w:val="28"/>
              </w:rPr>
              <w:t>- qamrab olinadigan yondashuvlar va metodikalar: Structural Approach, TBLT, PPP, Lexical Approach, Functional Approach, Communicative Approaches, Grammar-Translation, Guided Discovery, Content-Based Learning, CLIL.</w:t>
            </w:r>
          </w:p>
        </w:tc>
        <w:tc>
          <w:tcPr>
            <w:tcW w:w="1276" w:type="dxa"/>
            <w:vAlign w:val="center"/>
          </w:tcPr>
          <w:p w:rsidR="00D21734" w:rsidRDefault="00D21734">
            <w:pPr>
              <w:pBdr>
                <w:top w:val="nil"/>
                <w:left w:val="nil"/>
                <w:bottom w:val="nil"/>
                <w:right w:val="nil"/>
                <w:between w:val="nil"/>
              </w:pBdr>
              <w:spacing w:line="276" w:lineRule="auto"/>
              <w:jc w:val="center"/>
              <w:rPr>
                <w:color w:val="000000"/>
                <w:sz w:val="28"/>
                <w:szCs w:val="28"/>
              </w:rPr>
            </w:pPr>
          </w:p>
        </w:tc>
      </w:tr>
    </w:tbl>
    <w:p w:rsidR="00D21734" w:rsidRDefault="00BE4B9A">
      <w:pPr>
        <w:spacing w:after="120" w:line="276" w:lineRule="auto"/>
        <w:ind w:firstLine="708"/>
        <w:jc w:val="both"/>
        <w:rPr>
          <w:sz w:val="32"/>
          <w:szCs w:val="32"/>
        </w:rPr>
      </w:pPr>
      <w:r>
        <w:rPr>
          <w:sz w:val="32"/>
          <w:szCs w:val="32"/>
        </w:rPr>
        <w:t>Test topshiriqlarining kognitiv ko‘nikmalar bo‘yicha taqsimoti quyidagi jadvalda aks etgan:</w:t>
      </w:r>
    </w:p>
    <w:p w:rsidR="00D21734" w:rsidRDefault="00BE4B9A">
      <w:pPr>
        <w:widowControl/>
        <w:numPr>
          <w:ilvl w:val="0"/>
          <w:numId w:val="1"/>
        </w:numPr>
        <w:pBdr>
          <w:top w:val="nil"/>
          <w:left w:val="nil"/>
          <w:bottom w:val="nil"/>
          <w:right w:val="nil"/>
          <w:between w:val="nil"/>
        </w:pBdr>
        <w:tabs>
          <w:tab w:val="left" w:pos="284"/>
        </w:tabs>
        <w:spacing w:line="276" w:lineRule="auto"/>
        <w:ind w:left="0" w:firstLine="0"/>
        <w:jc w:val="right"/>
        <w:rPr>
          <w:i/>
          <w:iCs/>
          <w:color w:val="000000"/>
          <w:sz w:val="28"/>
          <w:szCs w:val="28"/>
        </w:rPr>
      </w:pPr>
      <w:r>
        <w:rPr>
          <w:i/>
          <w:iCs/>
          <w:color w:val="000000"/>
          <w:sz w:val="28"/>
          <w:szCs w:val="28"/>
        </w:rPr>
        <w:t>jadval</w:t>
      </w:r>
    </w:p>
    <w:p w:rsidR="00D21734" w:rsidRDefault="00BE4B9A">
      <w:pPr>
        <w:pBdr>
          <w:top w:val="nil"/>
          <w:left w:val="nil"/>
          <w:bottom w:val="nil"/>
          <w:right w:val="nil"/>
          <w:between w:val="nil"/>
        </w:pBdr>
        <w:tabs>
          <w:tab w:val="left" w:pos="284"/>
        </w:tabs>
        <w:spacing w:line="276" w:lineRule="auto"/>
        <w:ind w:right="120"/>
        <w:jc w:val="right"/>
        <w:rPr>
          <w:i/>
          <w:iCs/>
          <w:color w:val="000000"/>
          <w:sz w:val="28"/>
          <w:szCs w:val="28"/>
        </w:rPr>
      </w:pPr>
      <w:r>
        <w:rPr>
          <w:i/>
          <w:iCs/>
          <w:color w:val="000000"/>
          <w:sz w:val="28"/>
          <w:szCs w:val="28"/>
        </w:rPr>
        <w:t>Kognitiv ko‘nikmalar taqsimoti</w:t>
      </w:r>
    </w:p>
    <w:tbl>
      <w:tblPr>
        <w:tblStyle w:val="af"/>
        <w:tblW w:w="9214"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709"/>
        <w:gridCol w:w="1985"/>
        <w:gridCol w:w="5103"/>
        <w:gridCol w:w="1417"/>
      </w:tblGrid>
      <w:tr w:rsidR="00D21734">
        <w:trPr>
          <w:trHeight w:val="278"/>
        </w:trPr>
        <w:tc>
          <w:tcPr>
            <w:tcW w:w="709" w:type="dxa"/>
            <w:vAlign w:val="center"/>
          </w:tcPr>
          <w:p w:rsidR="00D21734" w:rsidRDefault="00BE4B9A">
            <w:pPr>
              <w:spacing w:line="276" w:lineRule="auto"/>
              <w:jc w:val="center"/>
              <w:rPr>
                <w:b/>
                <w:bCs/>
                <w:sz w:val="28"/>
                <w:szCs w:val="28"/>
              </w:rPr>
            </w:pPr>
            <w:r>
              <w:rPr>
                <w:b/>
                <w:bCs/>
                <w:sz w:val="28"/>
                <w:szCs w:val="28"/>
              </w:rPr>
              <w:t>T/r</w:t>
            </w:r>
          </w:p>
        </w:tc>
        <w:tc>
          <w:tcPr>
            <w:tcW w:w="1985" w:type="dxa"/>
            <w:vAlign w:val="center"/>
          </w:tcPr>
          <w:p w:rsidR="00D21734" w:rsidRDefault="00BE4B9A">
            <w:pPr>
              <w:spacing w:line="276" w:lineRule="auto"/>
              <w:jc w:val="center"/>
              <w:rPr>
                <w:b/>
                <w:bCs/>
                <w:sz w:val="28"/>
                <w:szCs w:val="28"/>
              </w:rPr>
            </w:pPr>
            <w:r>
              <w:rPr>
                <w:b/>
                <w:bCs/>
                <w:sz w:val="28"/>
                <w:szCs w:val="28"/>
              </w:rPr>
              <w:t xml:space="preserve">Kognitiv daraja </w:t>
            </w:r>
          </w:p>
        </w:tc>
        <w:tc>
          <w:tcPr>
            <w:tcW w:w="5103" w:type="dxa"/>
            <w:vAlign w:val="center"/>
          </w:tcPr>
          <w:p w:rsidR="00D21734" w:rsidRDefault="00BE4B9A">
            <w:pPr>
              <w:spacing w:line="276" w:lineRule="auto"/>
              <w:jc w:val="center"/>
              <w:rPr>
                <w:b/>
                <w:bCs/>
                <w:sz w:val="28"/>
                <w:szCs w:val="28"/>
              </w:rPr>
            </w:pPr>
            <w:r>
              <w:rPr>
                <w:b/>
                <w:bCs/>
                <w:sz w:val="28"/>
                <w:szCs w:val="28"/>
              </w:rPr>
              <w:t xml:space="preserve">Izohi </w:t>
            </w:r>
          </w:p>
        </w:tc>
        <w:tc>
          <w:tcPr>
            <w:tcW w:w="1417" w:type="dxa"/>
            <w:vAlign w:val="center"/>
          </w:tcPr>
          <w:p w:rsidR="00D21734" w:rsidRDefault="00BE4B9A">
            <w:pPr>
              <w:spacing w:line="276" w:lineRule="auto"/>
              <w:jc w:val="center"/>
              <w:rPr>
                <w:b/>
                <w:bCs/>
                <w:color w:val="1F3864"/>
                <w:sz w:val="28"/>
                <w:szCs w:val="28"/>
              </w:rPr>
            </w:pPr>
            <w:r>
              <w:rPr>
                <w:b/>
                <w:bCs/>
                <w:sz w:val="28"/>
                <w:szCs w:val="28"/>
              </w:rPr>
              <w:t xml:space="preserve">Testdagi ulushi </w:t>
            </w:r>
          </w:p>
        </w:tc>
      </w:tr>
      <w:tr w:rsidR="00D21734">
        <w:trPr>
          <w:trHeight w:val="851"/>
        </w:trPr>
        <w:tc>
          <w:tcPr>
            <w:tcW w:w="709" w:type="dxa"/>
            <w:vAlign w:val="center"/>
          </w:tcPr>
          <w:p w:rsidR="00D21734" w:rsidRDefault="00BE4B9A">
            <w:pPr>
              <w:spacing w:line="276" w:lineRule="auto"/>
              <w:jc w:val="center"/>
              <w:rPr>
                <w:b/>
                <w:bCs/>
                <w:sz w:val="28"/>
                <w:szCs w:val="28"/>
              </w:rPr>
            </w:pPr>
            <w:r>
              <w:rPr>
                <w:b/>
                <w:bCs/>
                <w:sz w:val="28"/>
                <w:szCs w:val="28"/>
              </w:rPr>
              <w:t>1</w:t>
            </w:r>
          </w:p>
        </w:tc>
        <w:tc>
          <w:tcPr>
            <w:tcW w:w="1985" w:type="dxa"/>
            <w:vAlign w:val="center"/>
          </w:tcPr>
          <w:p w:rsidR="00D21734" w:rsidRDefault="00BE4B9A">
            <w:pPr>
              <w:spacing w:line="276" w:lineRule="auto"/>
              <w:jc w:val="both"/>
              <w:rPr>
                <w:b/>
                <w:bCs/>
                <w:sz w:val="28"/>
                <w:szCs w:val="28"/>
              </w:rPr>
            </w:pPr>
            <w:r>
              <w:rPr>
                <w:b/>
                <w:bCs/>
                <w:sz w:val="28"/>
                <w:szCs w:val="28"/>
              </w:rPr>
              <w:t>Bilish va tushunish</w:t>
            </w:r>
          </w:p>
        </w:tc>
        <w:tc>
          <w:tcPr>
            <w:tcW w:w="5103" w:type="dxa"/>
            <w:vAlign w:val="center"/>
          </w:tcPr>
          <w:p w:rsidR="00D21734" w:rsidRDefault="00BE4B9A">
            <w:pPr>
              <w:pBdr>
                <w:top w:val="nil"/>
                <w:left w:val="nil"/>
                <w:bottom w:val="nil"/>
                <w:right w:val="nil"/>
                <w:between w:val="nil"/>
              </w:pBdr>
              <w:spacing w:line="276" w:lineRule="auto"/>
              <w:jc w:val="both"/>
              <w:rPr>
                <w:color w:val="000000"/>
                <w:sz w:val="28"/>
                <w:szCs w:val="28"/>
              </w:rPr>
            </w:pPr>
            <w:r>
              <w:rPr>
                <w:color w:val="000000"/>
                <w:sz w:val="28"/>
                <w:szCs w:val="28"/>
              </w:rPr>
              <w:t>Fanga doir nazariy maʼlumotlar, atamalar, qoidalar, tushunchalarni eslab qolish, ularning mazmuni, maqsadi va qo‘llanilishini tushunish</w:t>
            </w:r>
          </w:p>
        </w:tc>
        <w:tc>
          <w:tcPr>
            <w:tcW w:w="1417" w:type="dxa"/>
            <w:vAlign w:val="center"/>
          </w:tcPr>
          <w:p w:rsidR="00D21734" w:rsidRDefault="00BE4B9A">
            <w:pPr>
              <w:spacing w:line="276" w:lineRule="auto"/>
              <w:jc w:val="center"/>
              <w:rPr>
                <w:sz w:val="28"/>
                <w:szCs w:val="28"/>
              </w:rPr>
            </w:pPr>
            <w:r>
              <w:rPr>
                <w:sz w:val="28"/>
                <w:szCs w:val="28"/>
              </w:rPr>
              <w:t>8</w:t>
            </w:r>
          </w:p>
        </w:tc>
      </w:tr>
      <w:tr w:rsidR="00D21734">
        <w:trPr>
          <w:trHeight w:val="586"/>
        </w:trPr>
        <w:tc>
          <w:tcPr>
            <w:tcW w:w="709" w:type="dxa"/>
            <w:vAlign w:val="center"/>
          </w:tcPr>
          <w:p w:rsidR="00D21734" w:rsidRDefault="00BE4B9A">
            <w:pPr>
              <w:spacing w:line="276" w:lineRule="auto"/>
              <w:jc w:val="center"/>
              <w:rPr>
                <w:b/>
                <w:bCs/>
                <w:sz w:val="28"/>
                <w:szCs w:val="28"/>
              </w:rPr>
            </w:pPr>
            <w:r>
              <w:rPr>
                <w:b/>
                <w:bCs/>
                <w:sz w:val="28"/>
                <w:szCs w:val="28"/>
              </w:rPr>
              <w:t>2</w:t>
            </w:r>
          </w:p>
        </w:tc>
        <w:tc>
          <w:tcPr>
            <w:tcW w:w="1985" w:type="dxa"/>
            <w:vAlign w:val="center"/>
          </w:tcPr>
          <w:p w:rsidR="00D21734" w:rsidRDefault="00BE4B9A">
            <w:pPr>
              <w:spacing w:line="276" w:lineRule="auto"/>
              <w:jc w:val="both"/>
              <w:rPr>
                <w:b/>
                <w:bCs/>
                <w:sz w:val="28"/>
                <w:szCs w:val="28"/>
              </w:rPr>
            </w:pPr>
            <w:r>
              <w:rPr>
                <w:b/>
                <w:bCs/>
                <w:sz w:val="28"/>
                <w:szCs w:val="28"/>
              </w:rPr>
              <w:t xml:space="preserve">Qoʻllash </w:t>
            </w:r>
          </w:p>
        </w:tc>
        <w:tc>
          <w:tcPr>
            <w:tcW w:w="5103" w:type="dxa"/>
            <w:vAlign w:val="center"/>
          </w:tcPr>
          <w:p w:rsidR="00D21734" w:rsidRDefault="00BE4B9A">
            <w:pPr>
              <w:pBdr>
                <w:top w:val="nil"/>
                <w:left w:val="nil"/>
                <w:bottom w:val="nil"/>
                <w:right w:val="nil"/>
                <w:between w:val="nil"/>
              </w:pBdr>
              <w:spacing w:line="276" w:lineRule="auto"/>
              <w:jc w:val="both"/>
              <w:rPr>
                <w:color w:val="000000"/>
                <w:sz w:val="28"/>
                <w:szCs w:val="28"/>
              </w:rPr>
            </w:pPr>
            <w:r>
              <w:rPr>
                <w:color w:val="000000"/>
                <w:sz w:val="28"/>
                <w:szCs w:val="28"/>
              </w:rPr>
              <w:t>Bilim, tushuncha va protseduralarni yangi (notanish) kontekstlarda qoʻllay olish</w:t>
            </w:r>
          </w:p>
        </w:tc>
        <w:tc>
          <w:tcPr>
            <w:tcW w:w="1417" w:type="dxa"/>
            <w:vAlign w:val="center"/>
          </w:tcPr>
          <w:p w:rsidR="00D21734" w:rsidRDefault="00BE4B9A">
            <w:pPr>
              <w:spacing w:line="276" w:lineRule="auto"/>
              <w:jc w:val="center"/>
              <w:rPr>
                <w:sz w:val="28"/>
                <w:szCs w:val="28"/>
              </w:rPr>
            </w:pPr>
            <w:r>
              <w:rPr>
                <w:sz w:val="28"/>
                <w:szCs w:val="28"/>
              </w:rPr>
              <w:t>35</w:t>
            </w:r>
          </w:p>
        </w:tc>
      </w:tr>
      <w:tr w:rsidR="00D21734">
        <w:trPr>
          <w:trHeight w:val="585"/>
        </w:trPr>
        <w:tc>
          <w:tcPr>
            <w:tcW w:w="709" w:type="dxa"/>
            <w:vAlign w:val="center"/>
          </w:tcPr>
          <w:p w:rsidR="00D21734" w:rsidRDefault="00BE4B9A">
            <w:pPr>
              <w:spacing w:line="276" w:lineRule="auto"/>
              <w:jc w:val="center"/>
              <w:rPr>
                <w:b/>
                <w:bCs/>
                <w:sz w:val="28"/>
                <w:szCs w:val="28"/>
              </w:rPr>
            </w:pPr>
            <w:r>
              <w:rPr>
                <w:b/>
                <w:bCs/>
                <w:sz w:val="28"/>
                <w:szCs w:val="28"/>
              </w:rPr>
              <w:t>3</w:t>
            </w:r>
          </w:p>
        </w:tc>
        <w:tc>
          <w:tcPr>
            <w:tcW w:w="1985" w:type="dxa"/>
            <w:vAlign w:val="center"/>
          </w:tcPr>
          <w:p w:rsidR="00D21734" w:rsidRDefault="00BE4B9A">
            <w:pPr>
              <w:spacing w:line="276" w:lineRule="auto"/>
              <w:jc w:val="both"/>
              <w:rPr>
                <w:b/>
                <w:bCs/>
                <w:sz w:val="28"/>
                <w:szCs w:val="28"/>
              </w:rPr>
            </w:pPr>
            <w:r>
              <w:rPr>
                <w:b/>
                <w:bCs/>
                <w:sz w:val="28"/>
                <w:szCs w:val="28"/>
              </w:rPr>
              <w:t>Mulohaza qilish</w:t>
            </w:r>
          </w:p>
        </w:tc>
        <w:tc>
          <w:tcPr>
            <w:tcW w:w="5103" w:type="dxa"/>
            <w:vAlign w:val="center"/>
          </w:tcPr>
          <w:p w:rsidR="00D21734" w:rsidRDefault="00BE4B9A">
            <w:pPr>
              <w:pBdr>
                <w:top w:val="nil"/>
                <w:left w:val="nil"/>
                <w:bottom w:val="nil"/>
                <w:right w:val="nil"/>
                <w:between w:val="nil"/>
              </w:pBdr>
              <w:spacing w:line="276" w:lineRule="auto"/>
              <w:jc w:val="both"/>
              <w:rPr>
                <w:color w:val="000000"/>
                <w:sz w:val="28"/>
                <w:szCs w:val="28"/>
              </w:rPr>
            </w:pPr>
            <w:r>
              <w:rPr>
                <w:color w:val="000000"/>
                <w:sz w:val="28"/>
                <w:szCs w:val="28"/>
              </w:rPr>
              <w:t>Faktlar, dalillar, fikrlarni taqqoslash, tahlil qilish, taxmin qilish va xulosa(lar) chiqarish</w:t>
            </w:r>
          </w:p>
        </w:tc>
        <w:tc>
          <w:tcPr>
            <w:tcW w:w="1417" w:type="dxa"/>
            <w:vAlign w:val="center"/>
          </w:tcPr>
          <w:p w:rsidR="00D21734" w:rsidRDefault="00BE4B9A">
            <w:pPr>
              <w:spacing w:line="276" w:lineRule="auto"/>
              <w:jc w:val="center"/>
              <w:rPr>
                <w:sz w:val="28"/>
                <w:szCs w:val="28"/>
              </w:rPr>
            </w:pPr>
            <w:r>
              <w:rPr>
                <w:sz w:val="28"/>
                <w:szCs w:val="28"/>
              </w:rPr>
              <w:t>7</w:t>
            </w:r>
          </w:p>
        </w:tc>
      </w:tr>
    </w:tbl>
    <w:p w:rsidR="00D21734" w:rsidRDefault="00BE4B9A">
      <w:pPr>
        <w:pBdr>
          <w:top w:val="nil"/>
          <w:left w:val="nil"/>
          <w:bottom w:val="nil"/>
          <w:right w:val="nil"/>
          <w:between w:val="nil"/>
        </w:pBdr>
        <w:spacing w:before="120" w:after="120" w:line="276" w:lineRule="auto"/>
        <w:ind w:firstLine="720"/>
        <w:jc w:val="center"/>
        <w:rPr>
          <w:b/>
          <w:bCs/>
          <w:color w:val="000000"/>
          <w:sz w:val="28"/>
          <w:szCs w:val="28"/>
        </w:rPr>
      </w:pPr>
      <w:r>
        <w:rPr>
          <w:b/>
          <w:bCs/>
          <w:color w:val="000000"/>
          <w:sz w:val="28"/>
          <w:szCs w:val="28"/>
        </w:rPr>
        <w:t>IV. Baholash mezoni</w:t>
      </w:r>
    </w:p>
    <w:p w:rsidR="00D21734" w:rsidRDefault="00BE4B9A">
      <w:pPr>
        <w:spacing w:after="120" w:line="276" w:lineRule="auto"/>
        <w:ind w:firstLine="567"/>
        <w:jc w:val="center"/>
        <w:rPr>
          <w:sz w:val="28"/>
          <w:szCs w:val="28"/>
        </w:rPr>
      </w:pPr>
      <w:r>
        <w:rPr>
          <w:sz w:val="28"/>
          <w:szCs w:val="28"/>
        </w:rPr>
        <w:t>Test topshiruvchining natijasini (raw score) hisoblash uchun har bir toʻgʻri javobga 2 ball, notoʻgʻri javobga 0 ball beriladi. Maksimal 100 ballni tashkil qiladi.</w:t>
      </w:r>
    </w:p>
    <w:p w:rsidR="00D21734" w:rsidRDefault="00BE4B9A">
      <w:pPr>
        <w:pBdr>
          <w:top w:val="nil"/>
          <w:left w:val="nil"/>
          <w:bottom w:val="nil"/>
          <w:right w:val="nil"/>
          <w:between w:val="nil"/>
        </w:pBdr>
        <w:spacing w:before="120" w:after="120" w:line="276" w:lineRule="auto"/>
        <w:ind w:firstLine="720"/>
        <w:jc w:val="center"/>
        <w:rPr>
          <w:b/>
          <w:bCs/>
          <w:color w:val="000000"/>
          <w:sz w:val="28"/>
          <w:szCs w:val="28"/>
        </w:rPr>
      </w:pPr>
      <w:r>
        <w:rPr>
          <w:b/>
          <w:bCs/>
          <w:color w:val="000000"/>
          <w:sz w:val="28"/>
          <w:szCs w:val="28"/>
        </w:rPr>
        <w:t>V. Imtihon tartibi</w:t>
      </w:r>
    </w:p>
    <w:p w:rsidR="00D21734" w:rsidRDefault="00BE4B9A">
      <w:pPr>
        <w:spacing w:line="276" w:lineRule="auto"/>
        <w:ind w:firstLine="567"/>
        <w:jc w:val="both"/>
        <w:rPr>
          <w:sz w:val="28"/>
          <w:szCs w:val="28"/>
        </w:rPr>
      </w:pPr>
      <w:r>
        <w:rPr>
          <w:i/>
          <w:iCs/>
          <w:sz w:val="28"/>
          <w:szCs w:val="28"/>
        </w:rPr>
        <w:t>Taqiqlangan vositalar:</w:t>
      </w:r>
      <w:r>
        <w:rPr>
          <w:sz w:val="28"/>
          <w:szCs w:val="28"/>
        </w:rPr>
        <w:t xml:space="preserve"> imtihon vaqtida mobil telefon, aqlli soat, planshet yoki elektron eslatmalardan foydalanish qatʼiyan man etiladi. </w:t>
      </w:r>
    </w:p>
    <w:p w:rsidR="00D21734" w:rsidRDefault="00BE4B9A">
      <w:pPr>
        <w:spacing w:line="276" w:lineRule="auto"/>
        <w:ind w:firstLine="567"/>
        <w:jc w:val="both"/>
        <w:rPr>
          <w:sz w:val="28"/>
          <w:szCs w:val="28"/>
        </w:rPr>
      </w:pPr>
      <w:r>
        <w:rPr>
          <w:i/>
          <w:iCs/>
          <w:sz w:val="28"/>
          <w:szCs w:val="28"/>
        </w:rPr>
        <w:t>Axloq va intizom:</w:t>
      </w:r>
      <w:r>
        <w:rPr>
          <w:sz w:val="28"/>
          <w:szCs w:val="28"/>
        </w:rPr>
        <w:t xml:space="preserve"> nusxa koʻchirish, yordam soʻrash yoki yordam berish, imtihon davomida gaplashish, ruxsatsiz chiqish kabi holatlar taqiqlanadi. </w:t>
      </w:r>
    </w:p>
    <w:p w:rsidR="00D21734" w:rsidRDefault="00BE4B9A">
      <w:pPr>
        <w:spacing w:line="276" w:lineRule="auto"/>
        <w:ind w:firstLine="567"/>
        <w:jc w:val="both"/>
        <w:rPr>
          <w:sz w:val="28"/>
          <w:szCs w:val="28"/>
        </w:rPr>
      </w:pPr>
      <w:r>
        <w:rPr>
          <w:sz w:val="28"/>
          <w:szCs w:val="28"/>
        </w:rPr>
        <w:lastRenderedPageBreak/>
        <w:t>Nazoratchi qoidabuzarlikni aniqlaganda, uni rasmiylashtirib, tinglovchini testdan chetlashtiradi va natijasi bekor qilinadi.</w:t>
      </w:r>
    </w:p>
    <w:p w:rsidR="00D21734" w:rsidRDefault="00BE4B9A" w:rsidP="00BE4B9A">
      <w:pPr>
        <w:pBdr>
          <w:top w:val="nil"/>
          <w:left w:val="nil"/>
          <w:bottom w:val="nil"/>
          <w:right w:val="nil"/>
          <w:between w:val="nil"/>
        </w:pBdr>
        <w:spacing w:before="120" w:after="120" w:line="276" w:lineRule="auto"/>
        <w:jc w:val="center"/>
        <w:rPr>
          <w:b/>
          <w:bCs/>
          <w:color w:val="000000"/>
          <w:sz w:val="28"/>
          <w:szCs w:val="28"/>
        </w:rPr>
      </w:pPr>
      <w:r>
        <w:rPr>
          <w:b/>
          <w:bCs/>
          <w:color w:val="000000"/>
          <w:sz w:val="28"/>
          <w:szCs w:val="28"/>
        </w:rPr>
        <w:t>VII. Tavsiya etiladigan asosiy adabiyotlar</w:t>
      </w:r>
    </w:p>
    <w:p w:rsidR="00D21734" w:rsidRDefault="00BE4B9A" w:rsidP="00BE4B9A">
      <w:pPr>
        <w:pBdr>
          <w:top w:val="nil"/>
          <w:left w:val="nil"/>
          <w:bottom w:val="nil"/>
          <w:right w:val="nil"/>
          <w:between w:val="nil"/>
        </w:pBdr>
        <w:spacing w:before="120" w:after="120" w:line="276" w:lineRule="auto"/>
        <w:ind w:firstLine="720"/>
        <w:jc w:val="both"/>
        <w:rPr>
          <w:b/>
          <w:bCs/>
          <w:i/>
          <w:iCs/>
          <w:color w:val="000000"/>
          <w:sz w:val="30"/>
          <w:szCs w:val="30"/>
        </w:rPr>
      </w:pPr>
      <w:r>
        <w:rPr>
          <w:b/>
          <w:bCs/>
          <w:i/>
          <w:iCs/>
          <w:color w:val="000000"/>
          <w:sz w:val="30"/>
          <w:szCs w:val="30"/>
        </w:rPr>
        <w:t>Fransuz tili</w:t>
      </w:r>
    </w:p>
    <w:p w:rsidR="00D21734" w:rsidRDefault="00BE4B9A" w:rsidP="00BE4B9A">
      <w:pPr>
        <w:numPr>
          <w:ilvl w:val="0"/>
          <w:numId w:val="2"/>
        </w:numPr>
        <w:pBdr>
          <w:top w:val="nil"/>
          <w:left w:val="nil"/>
          <w:bottom w:val="nil"/>
          <w:right w:val="nil"/>
          <w:between w:val="nil"/>
        </w:pBdr>
        <w:tabs>
          <w:tab w:val="left" w:pos="851"/>
        </w:tabs>
        <w:spacing w:line="276" w:lineRule="auto"/>
        <w:ind w:left="0" w:firstLine="567"/>
        <w:jc w:val="both"/>
        <w:rPr>
          <w:color w:val="000000"/>
          <w:sz w:val="28"/>
          <w:szCs w:val="28"/>
        </w:rPr>
      </w:pPr>
      <w:r>
        <w:rPr>
          <w:color w:val="000000"/>
          <w:sz w:val="30"/>
          <w:szCs w:val="30"/>
        </w:rPr>
        <w:t>9-sinf "Décibel 5" (Méthode de français)</w:t>
      </w:r>
      <w:r>
        <w:rPr>
          <w:color w:val="000000"/>
          <w:sz w:val="24"/>
          <w:szCs w:val="24"/>
        </w:rPr>
        <w:t xml:space="preserve"> </w:t>
      </w:r>
      <w:r>
        <w:rPr>
          <w:color w:val="000000"/>
          <w:sz w:val="30"/>
          <w:szCs w:val="30"/>
        </w:rPr>
        <w:t>M.Butzbach; R.Fache C.Martin,  R.Nunez, D.Pastor; I.Saracibar. Didier FLE 2023;</w:t>
      </w:r>
    </w:p>
    <w:p w:rsidR="00D21734" w:rsidRDefault="00BE4B9A" w:rsidP="00BE4B9A">
      <w:pPr>
        <w:numPr>
          <w:ilvl w:val="0"/>
          <w:numId w:val="2"/>
        </w:numPr>
        <w:pBdr>
          <w:top w:val="nil"/>
          <w:left w:val="nil"/>
          <w:bottom w:val="nil"/>
          <w:right w:val="nil"/>
          <w:between w:val="nil"/>
        </w:pBdr>
        <w:tabs>
          <w:tab w:val="left" w:pos="851"/>
        </w:tabs>
        <w:spacing w:line="276" w:lineRule="auto"/>
        <w:ind w:left="0" w:firstLine="567"/>
        <w:jc w:val="both"/>
        <w:rPr>
          <w:color w:val="000000"/>
          <w:sz w:val="28"/>
          <w:szCs w:val="28"/>
        </w:rPr>
      </w:pPr>
      <w:r>
        <w:rPr>
          <w:color w:val="000000"/>
          <w:sz w:val="30"/>
          <w:szCs w:val="30"/>
        </w:rPr>
        <w:t>9-sinf "Décibel 5" (Cahier d'activités).</w:t>
      </w:r>
      <w:r>
        <w:rPr>
          <w:color w:val="000000"/>
          <w:sz w:val="24"/>
          <w:szCs w:val="24"/>
        </w:rPr>
        <w:t xml:space="preserve"> </w:t>
      </w:r>
      <w:r>
        <w:rPr>
          <w:color w:val="000000"/>
          <w:sz w:val="30"/>
          <w:szCs w:val="30"/>
        </w:rPr>
        <w:t>M.Butzbach; R.Fache C.Martin,  R.Nunez, D.Pastor; I.Saracibar. Didier FLE 2023;</w:t>
      </w:r>
    </w:p>
    <w:p w:rsidR="00D21734" w:rsidRDefault="00BE4B9A" w:rsidP="00BE4B9A">
      <w:pPr>
        <w:numPr>
          <w:ilvl w:val="0"/>
          <w:numId w:val="2"/>
        </w:numPr>
        <w:pBdr>
          <w:top w:val="nil"/>
          <w:left w:val="nil"/>
          <w:bottom w:val="nil"/>
          <w:right w:val="nil"/>
          <w:between w:val="nil"/>
        </w:pBdr>
        <w:tabs>
          <w:tab w:val="left" w:pos="851"/>
        </w:tabs>
        <w:spacing w:line="276" w:lineRule="auto"/>
        <w:ind w:left="0" w:firstLine="567"/>
        <w:jc w:val="both"/>
        <w:rPr>
          <w:color w:val="000000"/>
          <w:sz w:val="28"/>
          <w:szCs w:val="28"/>
        </w:rPr>
      </w:pPr>
      <w:r>
        <w:rPr>
          <w:color w:val="000000"/>
          <w:sz w:val="30"/>
          <w:szCs w:val="30"/>
        </w:rPr>
        <w:t>10-sinf "L'atelier+1" (Méthode de français)</w:t>
      </w:r>
      <w:r>
        <w:rPr>
          <w:color w:val="000000"/>
          <w:sz w:val="24"/>
          <w:szCs w:val="24"/>
        </w:rPr>
        <w:t xml:space="preserve"> </w:t>
      </w:r>
      <w:r>
        <w:rPr>
          <w:color w:val="000000"/>
          <w:sz w:val="30"/>
          <w:szCs w:val="30"/>
        </w:rPr>
        <w:t>Marie-Noёlle Cocton, Marie Rabin, Julien Kohlman, Delphine Ripaud. Didier FLE 2023;</w:t>
      </w:r>
    </w:p>
    <w:p w:rsidR="00D21734" w:rsidRDefault="00BE4B9A" w:rsidP="00BE4B9A">
      <w:pPr>
        <w:numPr>
          <w:ilvl w:val="0"/>
          <w:numId w:val="2"/>
        </w:numPr>
        <w:pBdr>
          <w:top w:val="nil"/>
          <w:left w:val="nil"/>
          <w:bottom w:val="nil"/>
          <w:right w:val="nil"/>
          <w:between w:val="nil"/>
        </w:pBdr>
        <w:tabs>
          <w:tab w:val="left" w:pos="851"/>
        </w:tabs>
        <w:spacing w:line="276" w:lineRule="auto"/>
        <w:ind w:left="0" w:firstLine="567"/>
        <w:jc w:val="both"/>
        <w:rPr>
          <w:color w:val="000000"/>
          <w:sz w:val="28"/>
          <w:szCs w:val="28"/>
        </w:rPr>
      </w:pPr>
      <w:r>
        <w:rPr>
          <w:color w:val="000000"/>
          <w:sz w:val="30"/>
          <w:szCs w:val="30"/>
        </w:rPr>
        <w:t>10-sinf "L'atelier+1" (Cahier d'activités)</w:t>
      </w:r>
      <w:r>
        <w:rPr>
          <w:color w:val="000000"/>
          <w:sz w:val="24"/>
          <w:szCs w:val="24"/>
        </w:rPr>
        <w:t xml:space="preserve"> </w:t>
      </w:r>
      <w:r>
        <w:rPr>
          <w:color w:val="000000"/>
          <w:sz w:val="30"/>
          <w:szCs w:val="30"/>
        </w:rPr>
        <w:t>Marie-Noёlle Cocton, Camille Dereeper, Julien Kohlman, Delphine Ripaud. Didier FLE 2023;</w:t>
      </w:r>
    </w:p>
    <w:p w:rsidR="00D21734" w:rsidRDefault="00BE4B9A" w:rsidP="00BE4B9A">
      <w:pPr>
        <w:numPr>
          <w:ilvl w:val="0"/>
          <w:numId w:val="2"/>
        </w:numPr>
        <w:pBdr>
          <w:top w:val="nil"/>
          <w:left w:val="nil"/>
          <w:bottom w:val="nil"/>
          <w:right w:val="nil"/>
          <w:between w:val="nil"/>
        </w:pBdr>
        <w:tabs>
          <w:tab w:val="left" w:pos="851"/>
        </w:tabs>
        <w:spacing w:line="276" w:lineRule="auto"/>
        <w:ind w:left="0" w:firstLine="567"/>
        <w:jc w:val="both"/>
        <w:rPr>
          <w:color w:val="000000"/>
          <w:sz w:val="28"/>
          <w:szCs w:val="28"/>
        </w:rPr>
      </w:pPr>
      <w:r>
        <w:rPr>
          <w:color w:val="000000"/>
          <w:sz w:val="30"/>
          <w:szCs w:val="30"/>
        </w:rPr>
        <w:t>11-sinf "L'atelier+2" (Méthode de français)</w:t>
      </w:r>
      <w:r>
        <w:rPr>
          <w:color w:val="000000"/>
          <w:sz w:val="24"/>
          <w:szCs w:val="24"/>
        </w:rPr>
        <w:t xml:space="preserve"> </w:t>
      </w:r>
      <w:r>
        <w:rPr>
          <w:color w:val="000000"/>
          <w:sz w:val="30"/>
          <w:szCs w:val="30"/>
        </w:rPr>
        <w:t>Marie-Noёlle Cocton, Marie Rabin, Julien Kohlman, Delphine Ripaud. Didier FLE 2023;</w:t>
      </w:r>
    </w:p>
    <w:p w:rsidR="00D21734" w:rsidRDefault="00BE4B9A" w:rsidP="00BE4B9A">
      <w:pPr>
        <w:numPr>
          <w:ilvl w:val="0"/>
          <w:numId w:val="2"/>
        </w:numPr>
        <w:pBdr>
          <w:top w:val="nil"/>
          <w:left w:val="nil"/>
          <w:bottom w:val="nil"/>
          <w:right w:val="nil"/>
          <w:between w:val="nil"/>
        </w:pBdr>
        <w:tabs>
          <w:tab w:val="left" w:pos="851"/>
        </w:tabs>
        <w:spacing w:line="276" w:lineRule="auto"/>
        <w:ind w:left="0" w:firstLine="567"/>
        <w:jc w:val="both"/>
        <w:rPr>
          <w:color w:val="000000"/>
          <w:sz w:val="28"/>
          <w:szCs w:val="28"/>
        </w:rPr>
      </w:pPr>
      <w:r>
        <w:rPr>
          <w:color w:val="000000"/>
          <w:sz w:val="30"/>
          <w:szCs w:val="30"/>
        </w:rPr>
        <w:t>11-sinf "L'atelier+2" (Cahier d'activités)</w:t>
      </w:r>
      <w:r>
        <w:rPr>
          <w:color w:val="000000"/>
          <w:sz w:val="24"/>
          <w:szCs w:val="24"/>
        </w:rPr>
        <w:t xml:space="preserve"> </w:t>
      </w:r>
      <w:r>
        <w:rPr>
          <w:color w:val="000000"/>
          <w:sz w:val="30"/>
          <w:szCs w:val="30"/>
        </w:rPr>
        <w:t>Marie-Noёlle Cocton, Camille Dereeper, Julien Kohlman, Delphine Ripaud. Didier FLE 2023;</w:t>
      </w:r>
    </w:p>
    <w:p w:rsidR="00D21734" w:rsidRDefault="00BE4B9A" w:rsidP="00BE4B9A">
      <w:pPr>
        <w:numPr>
          <w:ilvl w:val="0"/>
          <w:numId w:val="2"/>
        </w:numPr>
        <w:pBdr>
          <w:top w:val="nil"/>
          <w:left w:val="nil"/>
          <w:bottom w:val="nil"/>
          <w:right w:val="nil"/>
          <w:between w:val="nil"/>
        </w:pBdr>
        <w:tabs>
          <w:tab w:val="left" w:pos="851"/>
        </w:tabs>
        <w:spacing w:line="276" w:lineRule="auto"/>
        <w:ind w:left="0" w:firstLine="567"/>
        <w:jc w:val="both"/>
        <w:rPr>
          <w:color w:val="000000"/>
          <w:sz w:val="28"/>
          <w:szCs w:val="28"/>
        </w:rPr>
      </w:pPr>
      <w:r>
        <w:rPr>
          <w:color w:val="000000"/>
          <w:sz w:val="30"/>
          <w:szCs w:val="30"/>
        </w:rPr>
        <w:t>Réussir le TCF.</w:t>
      </w:r>
      <w:r>
        <w:rPr>
          <w:color w:val="000000"/>
          <w:sz w:val="24"/>
          <w:szCs w:val="24"/>
        </w:rPr>
        <w:t xml:space="preserve"> </w:t>
      </w:r>
      <w:r>
        <w:rPr>
          <w:color w:val="000000"/>
          <w:sz w:val="30"/>
          <w:szCs w:val="30"/>
        </w:rPr>
        <w:t>Olivier Bertrand.</w:t>
      </w:r>
      <w:r>
        <w:rPr>
          <w:color w:val="000000"/>
          <w:sz w:val="24"/>
          <w:szCs w:val="24"/>
        </w:rPr>
        <w:t xml:space="preserve"> </w:t>
      </w:r>
      <w:r>
        <w:rPr>
          <w:color w:val="000000"/>
          <w:sz w:val="30"/>
          <w:szCs w:val="30"/>
        </w:rPr>
        <w:t>Elipses-2009;</w:t>
      </w:r>
    </w:p>
    <w:p w:rsidR="00D21734" w:rsidRDefault="00BE4B9A" w:rsidP="00BE4B9A">
      <w:pPr>
        <w:numPr>
          <w:ilvl w:val="0"/>
          <w:numId w:val="2"/>
        </w:numPr>
        <w:pBdr>
          <w:top w:val="nil"/>
          <w:left w:val="nil"/>
          <w:bottom w:val="nil"/>
          <w:right w:val="nil"/>
          <w:between w:val="nil"/>
        </w:pBdr>
        <w:tabs>
          <w:tab w:val="left" w:pos="851"/>
        </w:tabs>
        <w:spacing w:line="276" w:lineRule="auto"/>
        <w:ind w:left="0" w:firstLine="567"/>
        <w:jc w:val="both"/>
        <w:rPr>
          <w:color w:val="000000"/>
          <w:sz w:val="28"/>
          <w:szCs w:val="28"/>
        </w:rPr>
      </w:pPr>
      <w:r>
        <w:rPr>
          <w:color w:val="000000"/>
          <w:sz w:val="30"/>
          <w:szCs w:val="30"/>
        </w:rPr>
        <w:t>Grammaire progressive du français. Niveau avancé.</w:t>
      </w:r>
      <w:r>
        <w:rPr>
          <w:color w:val="000000"/>
          <w:sz w:val="24"/>
          <w:szCs w:val="24"/>
        </w:rPr>
        <w:t xml:space="preserve"> </w:t>
      </w:r>
      <w:r>
        <w:rPr>
          <w:color w:val="000000"/>
          <w:sz w:val="30"/>
          <w:szCs w:val="30"/>
        </w:rPr>
        <w:t>Michel Boulares.</w:t>
      </w:r>
      <w:r>
        <w:rPr>
          <w:color w:val="000000"/>
          <w:sz w:val="24"/>
          <w:szCs w:val="24"/>
        </w:rPr>
        <w:t xml:space="preserve"> </w:t>
      </w:r>
      <w:r>
        <w:rPr>
          <w:color w:val="000000"/>
          <w:sz w:val="30"/>
          <w:szCs w:val="30"/>
        </w:rPr>
        <w:t>CLE international-2015.;</w:t>
      </w:r>
    </w:p>
    <w:p w:rsidR="00D21734" w:rsidRDefault="00BE4B9A" w:rsidP="00BE4B9A">
      <w:pPr>
        <w:numPr>
          <w:ilvl w:val="0"/>
          <w:numId w:val="2"/>
        </w:numPr>
        <w:pBdr>
          <w:top w:val="nil"/>
          <w:left w:val="nil"/>
          <w:bottom w:val="nil"/>
          <w:right w:val="nil"/>
          <w:between w:val="nil"/>
        </w:pBdr>
        <w:tabs>
          <w:tab w:val="left" w:pos="851"/>
        </w:tabs>
        <w:spacing w:line="276" w:lineRule="auto"/>
        <w:ind w:left="0" w:firstLine="567"/>
        <w:jc w:val="both"/>
        <w:rPr>
          <w:color w:val="000000"/>
          <w:sz w:val="28"/>
          <w:szCs w:val="28"/>
        </w:rPr>
      </w:pPr>
      <w:r>
        <w:rPr>
          <w:color w:val="000000"/>
          <w:sz w:val="30"/>
          <w:szCs w:val="30"/>
        </w:rPr>
        <w:t>Exercices de grammaire. Niveau B2.</w:t>
      </w:r>
      <w:r>
        <w:rPr>
          <w:color w:val="000000"/>
          <w:sz w:val="24"/>
          <w:szCs w:val="24"/>
        </w:rPr>
        <w:t xml:space="preserve"> </w:t>
      </w:r>
      <w:r>
        <w:rPr>
          <w:color w:val="000000"/>
          <w:sz w:val="30"/>
          <w:szCs w:val="30"/>
        </w:rPr>
        <w:t>Michel Boulares.</w:t>
      </w:r>
      <w:r>
        <w:rPr>
          <w:color w:val="000000"/>
          <w:sz w:val="24"/>
          <w:szCs w:val="24"/>
        </w:rPr>
        <w:t xml:space="preserve"> </w:t>
      </w:r>
      <w:r>
        <w:rPr>
          <w:color w:val="000000"/>
          <w:sz w:val="30"/>
          <w:szCs w:val="30"/>
        </w:rPr>
        <w:t>Hachette-2019.;</w:t>
      </w:r>
    </w:p>
    <w:p w:rsidR="00D21734" w:rsidRDefault="00BE4B9A" w:rsidP="00BE4B9A">
      <w:pPr>
        <w:numPr>
          <w:ilvl w:val="0"/>
          <w:numId w:val="2"/>
        </w:numPr>
        <w:pBdr>
          <w:top w:val="nil"/>
          <w:left w:val="nil"/>
          <w:bottom w:val="nil"/>
          <w:right w:val="nil"/>
          <w:between w:val="nil"/>
        </w:pBdr>
        <w:tabs>
          <w:tab w:val="left" w:pos="851"/>
        </w:tabs>
        <w:spacing w:line="276" w:lineRule="auto"/>
        <w:ind w:left="0" w:firstLine="567"/>
        <w:jc w:val="both"/>
        <w:rPr>
          <w:color w:val="000000"/>
          <w:sz w:val="28"/>
          <w:szCs w:val="28"/>
        </w:rPr>
      </w:pPr>
      <w:r>
        <w:rPr>
          <w:color w:val="000000"/>
          <w:sz w:val="30"/>
          <w:szCs w:val="30"/>
        </w:rPr>
        <w:t>Vocabulaire progressif du français.</w:t>
      </w:r>
      <w:r>
        <w:rPr>
          <w:color w:val="000000"/>
          <w:sz w:val="24"/>
          <w:szCs w:val="24"/>
        </w:rPr>
        <w:t xml:space="preserve"> </w:t>
      </w:r>
      <w:r>
        <w:rPr>
          <w:color w:val="000000"/>
          <w:sz w:val="30"/>
          <w:szCs w:val="30"/>
        </w:rPr>
        <w:t>Claire Miquel.</w:t>
      </w:r>
      <w:r>
        <w:rPr>
          <w:color w:val="000000"/>
          <w:sz w:val="24"/>
          <w:szCs w:val="24"/>
        </w:rPr>
        <w:t xml:space="preserve"> </w:t>
      </w:r>
      <w:r>
        <w:rPr>
          <w:color w:val="000000"/>
          <w:sz w:val="30"/>
          <w:szCs w:val="30"/>
        </w:rPr>
        <w:t>CLE international.2000;</w:t>
      </w:r>
    </w:p>
    <w:p w:rsidR="00D21734" w:rsidRDefault="00BE4B9A" w:rsidP="00BE4B9A">
      <w:pPr>
        <w:numPr>
          <w:ilvl w:val="0"/>
          <w:numId w:val="2"/>
        </w:numPr>
        <w:pBdr>
          <w:top w:val="nil"/>
          <w:left w:val="nil"/>
          <w:bottom w:val="nil"/>
          <w:right w:val="nil"/>
          <w:between w:val="nil"/>
        </w:pBdr>
        <w:tabs>
          <w:tab w:val="left" w:pos="851"/>
        </w:tabs>
        <w:spacing w:line="276" w:lineRule="auto"/>
        <w:ind w:left="0" w:firstLine="567"/>
        <w:jc w:val="both"/>
        <w:rPr>
          <w:color w:val="000000"/>
          <w:sz w:val="28"/>
          <w:szCs w:val="28"/>
        </w:rPr>
      </w:pPr>
      <w:r>
        <w:rPr>
          <w:color w:val="000000"/>
          <w:sz w:val="30"/>
          <w:szCs w:val="30"/>
        </w:rPr>
        <w:t>Phonétique progressif du français. Niveau intermedia.</w:t>
      </w:r>
      <w:r>
        <w:rPr>
          <w:color w:val="000000"/>
          <w:sz w:val="24"/>
          <w:szCs w:val="24"/>
        </w:rPr>
        <w:t xml:space="preserve"> </w:t>
      </w:r>
      <w:r>
        <w:rPr>
          <w:color w:val="000000"/>
          <w:sz w:val="30"/>
          <w:szCs w:val="30"/>
        </w:rPr>
        <w:t>Lucile Charliac.</w:t>
      </w:r>
      <w:r>
        <w:rPr>
          <w:color w:val="000000"/>
          <w:sz w:val="24"/>
          <w:szCs w:val="24"/>
        </w:rPr>
        <w:t xml:space="preserve"> </w:t>
      </w:r>
      <w:r>
        <w:rPr>
          <w:color w:val="000000"/>
          <w:sz w:val="30"/>
          <w:szCs w:val="30"/>
        </w:rPr>
        <w:t>CLE international-2008.;</w:t>
      </w:r>
    </w:p>
    <w:p w:rsidR="00D21734" w:rsidRDefault="00BE4B9A" w:rsidP="00BE4B9A">
      <w:pPr>
        <w:numPr>
          <w:ilvl w:val="0"/>
          <w:numId w:val="2"/>
        </w:numPr>
        <w:pBdr>
          <w:top w:val="nil"/>
          <w:left w:val="nil"/>
          <w:bottom w:val="nil"/>
          <w:right w:val="nil"/>
          <w:between w:val="nil"/>
        </w:pBdr>
        <w:tabs>
          <w:tab w:val="left" w:pos="851"/>
        </w:tabs>
        <w:spacing w:line="276" w:lineRule="auto"/>
        <w:ind w:left="0" w:firstLine="567"/>
        <w:jc w:val="both"/>
        <w:rPr>
          <w:color w:val="000000"/>
          <w:sz w:val="30"/>
          <w:szCs w:val="30"/>
        </w:rPr>
      </w:pPr>
      <w:r>
        <w:rPr>
          <w:color w:val="000000"/>
          <w:sz w:val="30"/>
          <w:szCs w:val="30"/>
        </w:rPr>
        <w:t>Les 500 exercices de grammaire B2 Marie-Pièrre Caquineau Hachette 2011;</w:t>
      </w:r>
    </w:p>
    <w:p w:rsidR="00D21734" w:rsidRDefault="00BE4B9A" w:rsidP="00BE4B9A">
      <w:pPr>
        <w:numPr>
          <w:ilvl w:val="0"/>
          <w:numId w:val="2"/>
        </w:numPr>
        <w:pBdr>
          <w:top w:val="nil"/>
          <w:left w:val="nil"/>
          <w:bottom w:val="nil"/>
          <w:right w:val="nil"/>
          <w:between w:val="nil"/>
        </w:pBdr>
        <w:tabs>
          <w:tab w:val="left" w:pos="851"/>
        </w:tabs>
        <w:spacing w:line="276" w:lineRule="auto"/>
        <w:ind w:left="0" w:firstLine="567"/>
        <w:jc w:val="both"/>
        <w:rPr>
          <w:color w:val="000000"/>
          <w:sz w:val="30"/>
          <w:szCs w:val="30"/>
        </w:rPr>
      </w:pPr>
      <w:r>
        <w:rPr>
          <w:color w:val="000000"/>
          <w:sz w:val="30"/>
          <w:szCs w:val="30"/>
        </w:rPr>
        <w:t>1000 questions de français. Dominique Le Fur. Le Robert 2012;</w:t>
      </w:r>
    </w:p>
    <w:p w:rsidR="00D21734" w:rsidRDefault="00BE4B9A" w:rsidP="00BE4B9A">
      <w:pPr>
        <w:numPr>
          <w:ilvl w:val="0"/>
          <w:numId w:val="2"/>
        </w:numPr>
        <w:pBdr>
          <w:top w:val="nil"/>
          <w:left w:val="nil"/>
          <w:bottom w:val="nil"/>
          <w:right w:val="nil"/>
          <w:between w:val="nil"/>
        </w:pBdr>
        <w:tabs>
          <w:tab w:val="left" w:pos="851"/>
        </w:tabs>
        <w:spacing w:after="120" w:line="276" w:lineRule="auto"/>
        <w:ind w:left="0" w:firstLine="567"/>
        <w:jc w:val="both"/>
        <w:rPr>
          <w:color w:val="000000"/>
          <w:sz w:val="30"/>
          <w:szCs w:val="30"/>
        </w:rPr>
      </w:pPr>
      <w:r>
        <w:rPr>
          <w:color w:val="000000"/>
          <w:sz w:val="30"/>
          <w:szCs w:val="30"/>
        </w:rPr>
        <w:t>1000 mots pour réussir … Claude Lebrun. Belin.</w:t>
      </w:r>
    </w:p>
    <w:p w:rsidR="00D21734" w:rsidRDefault="00BE4B9A" w:rsidP="00BE4B9A">
      <w:pPr>
        <w:pBdr>
          <w:top w:val="nil"/>
          <w:left w:val="nil"/>
          <w:bottom w:val="nil"/>
          <w:right w:val="nil"/>
          <w:between w:val="nil"/>
        </w:pBdr>
        <w:spacing w:before="120" w:after="120" w:line="276" w:lineRule="auto"/>
        <w:ind w:firstLine="720"/>
        <w:jc w:val="both"/>
        <w:rPr>
          <w:b/>
          <w:bCs/>
          <w:i/>
          <w:iCs/>
          <w:color w:val="000000"/>
          <w:sz w:val="30"/>
          <w:szCs w:val="30"/>
        </w:rPr>
      </w:pPr>
      <w:r>
        <w:rPr>
          <w:b/>
          <w:bCs/>
          <w:i/>
          <w:iCs/>
          <w:color w:val="000000"/>
          <w:sz w:val="30"/>
          <w:szCs w:val="30"/>
        </w:rPr>
        <w:t xml:space="preserve">Pedagogika, metodika </w:t>
      </w:r>
    </w:p>
    <w:p w:rsidR="00D21734" w:rsidRDefault="00BE4B9A" w:rsidP="00BE4B9A">
      <w:pPr>
        <w:numPr>
          <w:ilvl w:val="0"/>
          <w:numId w:val="2"/>
        </w:numPr>
        <w:pBdr>
          <w:top w:val="nil"/>
          <w:left w:val="nil"/>
          <w:bottom w:val="nil"/>
          <w:right w:val="nil"/>
          <w:between w:val="nil"/>
        </w:pBdr>
        <w:tabs>
          <w:tab w:val="left" w:pos="851"/>
        </w:tabs>
        <w:spacing w:line="276" w:lineRule="auto"/>
        <w:jc w:val="both"/>
        <w:rPr>
          <w:color w:val="000000"/>
          <w:sz w:val="30"/>
          <w:szCs w:val="30"/>
        </w:rPr>
      </w:pPr>
      <w:r>
        <w:rPr>
          <w:color w:val="000000"/>
          <w:sz w:val="30"/>
          <w:szCs w:val="30"/>
        </w:rPr>
        <w:t>Module de  pedagogie generale et theories de l’apprentissage pour la formation professionnelle initiale des enseignents du fondamental. Préparé dans le Cadre du Projet d’Éducation Pour Tous (EPT) 2008-2014. Revu par JeanClaude Michaud et Marguerite Altet;</w:t>
      </w:r>
    </w:p>
    <w:p w:rsidR="00D21734" w:rsidRDefault="00BE4B9A" w:rsidP="00BE4B9A">
      <w:pPr>
        <w:numPr>
          <w:ilvl w:val="0"/>
          <w:numId w:val="2"/>
        </w:numPr>
        <w:pBdr>
          <w:top w:val="nil"/>
          <w:left w:val="nil"/>
          <w:bottom w:val="nil"/>
          <w:right w:val="nil"/>
          <w:between w:val="nil"/>
        </w:pBdr>
        <w:tabs>
          <w:tab w:val="left" w:pos="851"/>
        </w:tabs>
        <w:spacing w:line="276" w:lineRule="auto"/>
        <w:jc w:val="both"/>
        <w:rPr>
          <w:color w:val="000000"/>
          <w:sz w:val="30"/>
          <w:szCs w:val="30"/>
        </w:rPr>
      </w:pPr>
      <w:r>
        <w:rPr>
          <w:color w:val="000000"/>
          <w:sz w:val="30"/>
          <w:szCs w:val="30"/>
        </w:rPr>
        <w:t>Formation à la méthodologie de l’enseignement du FLE et développement de l’agir enseignant Véronique Laurens. 2013;</w:t>
      </w:r>
    </w:p>
    <w:p w:rsidR="00D21734" w:rsidRDefault="00BE4B9A" w:rsidP="00BE4B9A">
      <w:pPr>
        <w:numPr>
          <w:ilvl w:val="0"/>
          <w:numId w:val="2"/>
        </w:numPr>
        <w:pBdr>
          <w:top w:val="nil"/>
          <w:left w:val="nil"/>
          <w:bottom w:val="nil"/>
          <w:right w:val="nil"/>
          <w:between w:val="nil"/>
        </w:pBdr>
        <w:tabs>
          <w:tab w:val="left" w:pos="851"/>
        </w:tabs>
        <w:spacing w:after="120" w:line="276" w:lineRule="auto"/>
        <w:jc w:val="both"/>
        <w:rPr>
          <w:color w:val="000000"/>
          <w:sz w:val="30"/>
          <w:szCs w:val="30"/>
        </w:rPr>
      </w:pPr>
      <w:r>
        <w:rPr>
          <w:color w:val="000000"/>
          <w:sz w:val="30"/>
          <w:szCs w:val="30"/>
        </w:rPr>
        <w:lastRenderedPageBreak/>
        <w:t>Puren, C., &amp; Bertocchini, P. (n.d.). Se former en didactique des langues.</w:t>
      </w:r>
    </w:p>
    <w:p w:rsidR="00D21734" w:rsidRDefault="00D21734" w:rsidP="00BE4B9A">
      <w:pPr>
        <w:pBdr>
          <w:top w:val="nil"/>
          <w:left w:val="nil"/>
          <w:bottom w:val="nil"/>
          <w:right w:val="nil"/>
          <w:between w:val="nil"/>
        </w:pBdr>
        <w:spacing w:after="120"/>
        <w:ind w:left="360" w:firstLine="360"/>
        <w:jc w:val="both"/>
        <w:rPr>
          <w:b/>
          <w:bCs/>
          <w:i/>
          <w:iCs/>
          <w:sz w:val="26"/>
          <w:szCs w:val="26"/>
          <w:u w:val="single"/>
        </w:rPr>
      </w:pPr>
      <w:bookmarkStart w:id="4" w:name="_heading=h.dcf6f7swf3w1" w:colFirst="0" w:colLast="0"/>
      <w:bookmarkEnd w:id="4"/>
    </w:p>
    <w:p w:rsidR="00D21734" w:rsidRDefault="00BE4B9A" w:rsidP="00BE4B9A">
      <w:pPr>
        <w:pBdr>
          <w:top w:val="nil"/>
          <w:left w:val="nil"/>
          <w:bottom w:val="nil"/>
          <w:right w:val="nil"/>
          <w:between w:val="nil"/>
        </w:pBdr>
        <w:spacing w:after="120"/>
        <w:ind w:left="360" w:firstLine="360"/>
        <w:jc w:val="both"/>
        <w:rPr>
          <w:sz w:val="28"/>
          <w:szCs w:val="28"/>
        </w:rPr>
      </w:pPr>
      <w:bookmarkStart w:id="5" w:name="_heading=h.c39yv5vp1p8j" w:colFirst="0" w:colLast="0"/>
      <w:bookmarkEnd w:id="5"/>
      <w:r>
        <w:rPr>
          <w:b/>
          <w:bCs/>
          <w:i/>
          <w:iCs/>
          <w:sz w:val="24"/>
          <w:szCs w:val="24"/>
          <w:u w:val="single"/>
        </w:rPr>
        <w:t>Eslatma:</w:t>
      </w:r>
      <w:r>
        <w:rPr>
          <w:b/>
          <w:bCs/>
          <w:sz w:val="28"/>
          <w:szCs w:val="28"/>
        </w:rPr>
        <w:t xml:space="preserve"> </w:t>
      </w:r>
      <w:r>
        <w:rPr>
          <w:i/>
          <w:iCs/>
          <w:sz w:val="24"/>
          <w:szCs w:val="24"/>
        </w:rPr>
        <w:t>test topshiriqlari mazmuni tavsiya etilgan adabiyotlarda aks etgan mazmun, tamoyil va yondashuvlar bilan moslashtiriladi, ammo test topshiriqlari to‘g‘ridan to‘g‘ri manbalardan olinmaydi. Malaka sinoviga tayyorgarlik ko‘rish jarayonida tavsiya etilgan adabiyotlar eslab qolish manbai sifatida xizmat qilishdan ko‘ra, umumiy kasbiy tayyorgarlikni mustahkamlashga qaratilgan.</w:t>
      </w:r>
    </w:p>
    <w:sectPr w:rsidR="00D21734">
      <w:pgSz w:w="11910" w:h="16840"/>
      <w:pgMar w:top="1134" w:right="850" w:bottom="1134" w:left="1701" w:header="720" w:footer="720"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Cambria">
    <w:panose1 w:val="02040503050406030204"/>
    <w:charset w:val="CC"/>
    <w:family w:val="roman"/>
    <w:pitch w:val="variable"/>
    <w:sig w:usb0="E00006FF" w:usb1="420024FF" w:usb2="02000000" w:usb3="00000000" w:csb0="0000019F" w:csb1="00000000"/>
    <w:embedRegular r:id="rId1" w:fontKey="{648EB9EF-AD42-4B58-8920-5BE3A1F2EEC6}"/>
    <w:embedBold r:id="rId2" w:fontKey="{B20EF853-62F1-4746-9FD4-E52095EC6002}"/>
  </w:font>
  <w:font w:name="Calibri">
    <w:panose1 w:val="020F0502020204030204"/>
    <w:charset w:val="CC"/>
    <w:family w:val="swiss"/>
    <w:pitch w:val="variable"/>
    <w:sig w:usb0="E4002EFF" w:usb1="C200247B" w:usb2="00000009" w:usb3="00000000" w:csb0="000001FF" w:csb1="00000000"/>
    <w:embedRegular r:id="rId3" w:fontKey="{32EFA8D7-6072-4E72-8202-76802BCFA530}"/>
  </w:font>
  <w:font w:name="Tahoma">
    <w:panose1 w:val="020B0604030504040204"/>
    <w:charset w:val="CC"/>
    <w:family w:val="swiss"/>
    <w:pitch w:val="variable"/>
    <w:sig w:usb0="E1002EFF" w:usb1="C000605B" w:usb2="00000029" w:usb3="00000000" w:csb0="000101FF" w:csb1="00000000"/>
    <w:embedRegular r:id="rId4" w:fontKey="{A615D32D-B029-43F6-ACFE-C08FA9640A50}"/>
  </w:font>
  <w:font w:name="Georgia">
    <w:panose1 w:val="02040502050405020303"/>
    <w:charset w:val="CC"/>
    <w:family w:val="roman"/>
    <w:pitch w:val="variable"/>
    <w:sig w:usb0="00000287" w:usb1="00000000" w:usb2="00000000" w:usb3="00000000" w:csb0="0000009F" w:csb1="00000000"/>
    <w:embedItalic r:id="rId5" w:fontKey="{A93B723B-0162-4ED9-91EE-6C1D45642D1B}"/>
  </w:font>
</w:font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27B44B78"/>
    <w:multiLevelType w:val="multilevel"/>
    <w:tmpl w:val="F0E070E6"/>
    <w:lvl w:ilvl="0">
      <w:start w:val="1"/>
      <w:numFmt w:val="decimal"/>
      <w:lvlText w:val="%1-"/>
      <w:lvlJc w:val="left"/>
      <w:pPr>
        <w:ind w:left="8724" w:hanging="360"/>
      </w:pPr>
    </w:lvl>
    <w:lvl w:ilvl="1">
      <w:start w:val="1"/>
      <w:numFmt w:val="lowerLetter"/>
      <w:lvlText w:val="%2."/>
      <w:lvlJc w:val="left"/>
      <w:pPr>
        <w:ind w:left="1647" w:hanging="360"/>
      </w:pPr>
    </w:lvl>
    <w:lvl w:ilvl="2">
      <w:start w:val="1"/>
      <w:numFmt w:val="lowerRoman"/>
      <w:lvlText w:val="%3."/>
      <w:lvlJc w:val="right"/>
      <w:pPr>
        <w:ind w:left="2367" w:hanging="180"/>
      </w:pPr>
    </w:lvl>
    <w:lvl w:ilvl="3">
      <w:start w:val="1"/>
      <w:numFmt w:val="decimal"/>
      <w:lvlText w:val="%4."/>
      <w:lvlJc w:val="left"/>
      <w:pPr>
        <w:ind w:left="3087" w:hanging="360"/>
      </w:pPr>
    </w:lvl>
    <w:lvl w:ilvl="4">
      <w:start w:val="1"/>
      <w:numFmt w:val="lowerLetter"/>
      <w:lvlText w:val="%5."/>
      <w:lvlJc w:val="left"/>
      <w:pPr>
        <w:ind w:left="3807" w:hanging="360"/>
      </w:pPr>
    </w:lvl>
    <w:lvl w:ilvl="5">
      <w:start w:val="1"/>
      <w:numFmt w:val="lowerRoman"/>
      <w:lvlText w:val="%6."/>
      <w:lvlJc w:val="right"/>
      <w:pPr>
        <w:ind w:left="4527" w:hanging="180"/>
      </w:pPr>
    </w:lvl>
    <w:lvl w:ilvl="6">
      <w:start w:val="1"/>
      <w:numFmt w:val="decimal"/>
      <w:lvlText w:val="%7."/>
      <w:lvlJc w:val="left"/>
      <w:pPr>
        <w:ind w:left="5247" w:hanging="360"/>
      </w:pPr>
    </w:lvl>
    <w:lvl w:ilvl="7">
      <w:start w:val="1"/>
      <w:numFmt w:val="lowerLetter"/>
      <w:lvlText w:val="%8."/>
      <w:lvlJc w:val="left"/>
      <w:pPr>
        <w:ind w:left="5967" w:hanging="360"/>
      </w:pPr>
    </w:lvl>
    <w:lvl w:ilvl="8">
      <w:start w:val="1"/>
      <w:numFmt w:val="lowerRoman"/>
      <w:lvlText w:val="%9."/>
      <w:lvlJc w:val="right"/>
      <w:pPr>
        <w:ind w:left="6687" w:hanging="180"/>
      </w:pPr>
    </w:lvl>
  </w:abstractNum>
  <w:abstractNum w:abstractNumId="1" w15:restartNumberingAfterBreak="0">
    <w:nsid w:val="661A419A"/>
    <w:multiLevelType w:val="multilevel"/>
    <w:tmpl w:val="E326ECDA"/>
    <w:lvl w:ilvl="0">
      <w:start w:val="1"/>
      <w:numFmt w:val="decimal"/>
      <w:lvlText w:val="%1."/>
      <w:lvlJc w:val="center"/>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TrueTypeFonts/>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21734"/>
    <w:rsid w:val="0055683B"/>
    <w:rsid w:val="00BE4B9A"/>
    <w:rsid w:val="00D21734"/>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6DFB5D9"/>
  <w15:docId w15:val="{19F4C53F-EB79-4825-9D0E-4745C88D2C1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sz w:val="22"/>
        <w:szCs w:val="22"/>
        <w:lang w:val="id" w:eastAsia="ru-RU" w:bidi="ar-SA"/>
      </w:rPr>
    </w:rPrDefault>
    <w:pPrDefault>
      <w:pPr>
        <w:widowControl w:val="0"/>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style>
  <w:style w:type="paragraph" w:styleId="1">
    <w:name w:val="heading 1"/>
    <w:basedOn w:val="a"/>
    <w:next w:val="a"/>
    <w:pPr>
      <w:ind w:left="122"/>
      <w:outlineLvl w:val="0"/>
    </w:pPr>
    <w:rPr>
      <w:b/>
      <w:bCs/>
      <w:sz w:val="28"/>
      <w:szCs w:val="28"/>
    </w:rPr>
  </w:style>
  <w:style w:type="paragraph" w:styleId="2">
    <w:name w:val="heading 2"/>
    <w:basedOn w:val="a"/>
    <w:next w:val="a"/>
    <w:pPr>
      <w:keepNext/>
      <w:keepLines/>
      <w:spacing w:before="360" w:after="80"/>
      <w:outlineLvl w:val="1"/>
    </w:pPr>
    <w:rPr>
      <w:b/>
      <w:bCs/>
      <w:sz w:val="36"/>
      <w:szCs w:val="36"/>
    </w:rPr>
  </w:style>
  <w:style w:type="paragraph" w:styleId="3">
    <w:name w:val="heading 3"/>
    <w:basedOn w:val="a"/>
    <w:next w:val="a"/>
    <w:pPr>
      <w:keepNext/>
      <w:keepLines/>
      <w:spacing w:before="200"/>
      <w:outlineLvl w:val="2"/>
    </w:pPr>
    <w:rPr>
      <w:rFonts w:ascii="Cambria" w:eastAsia="Cambria" w:hAnsi="Cambria" w:cs="Cambria"/>
      <w:b/>
      <w:bCs/>
      <w:color w:val="4F81BD"/>
    </w:rPr>
  </w:style>
  <w:style w:type="paragraph" w:styleId="4">
    <w:name w:val="heading 4"/>
    <w:basedOn w:val="a"/>
    <w:next w:val="a"/>
    <w:pPr>
      <w:keepNext/>
      <w:keepLines/>
      <w:spacing w:before="240" w:after="40"/>
      <w:outlineLvl w:val="3"/>
    </w:pPr>
    <w:rPr>
      <w:b/>
      <w:bCs/>
      <w:sz w:val="24"/>
      <w:szCs w:val="24"/>
    </w:rPr>
  </w:style>
  <w:style w:type="paragraph" w:styleId="5">
    <w:name w:val="heading 5"/>
    <w:basedOn w:val="a"/>
    <w:next w:val="a"/>
    <w:pPr>
      <w:keepNext/>
      <w:keepLines/>
      <w:spacing w:before="220" w:after="40"/>
      <w:outlineLvl w:val="4"/>
    </w:pPr>
    <w:rPr>
      <w:b/>
      <w:bCs/>
    </w:rPr>
  </w:style>
  <w:style w:type="paragraph" w:styleId="6">
    <w:name w:val="heading 6"/>
    <w:basedOn w:val="a"/>
    <w:next w:val="a"/>
    <w:pPr>
      <w:keepNext/>
      <w:keepLines/>
      <w:spacing w:before="200" w:after="40"/>
      <w:outlineLvl w:val="5"/>
    </w:pPr>
    <w:rPr>
      <w:b/>
      <w:bCs/>
      <w:sz w:val="20"/>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a3">
    <w:name w:val="Title"/>
    <w:basedOn w:val="a"/>
    <w:next w:val="a"/>
    <w:pPr>
      <w:widowControl/>
      <w:spacing w:after="80"/>
    </w:pPr>
    <w:rPr>
      <w:rFonts w:ascii="Calibri" w:eastAsia="Calibri" w:hAnsi="Calibri" w:cs="Calibri"/>
      <w:sz w:val="56"/>
      <w:szCs w:val="56"/>
    </w:rPr>
  </w:style>
  <w:style w:type="table" w:customStyle="1" w:styleId="TableNormal0">
    <w:name w:val="Table Normal"/>
    <w:uiPriority w:val="2"/>
    <w:semiHidden/>
    <w:unhideWhenUsed/>
    <w:qFormat/>
    <w:tblPr>
      <w:tblInd w:w="0" w:type="dxa"/>
      <w:tblCellMar>
        <w:top w:w="0" w:type="dxa"/>
        <w:left w:w="0" w:type="dxa"/>
        <w:bottom w:w="0" w:type="dxa"/>
        <w:right w:w="0" w:type="dxa"/>
      </w:tblCellMar>
    </w:tblPr>
  </w:style>
  <w:style w:type="paragraph" w:styleId="a4">
    <w:name w:val="Body Text"/>
    <w:uiPriority w:val="1"/>
    <w:qFormat/>
    <w:pPr>
      <w:ind w:left="405" w:hanging="284"/>
    </w:pPr>
    <w:rPr>
      <w:sz w:val="28"/>
      <w:szCs w:val="28"/>
    </w:rPr>
  </w:style>
  <w:style w:type="paragraph" w:styleId="a5">
    <w:name w:val="List Paragraph"/>
    <w:uiPriority w:val="34"/>
    <w:qFormat/>
    <w:pPr>
      <w:ind w:left="405" w:hanging="284"/>
    </w:pPr>
  </w:style>
  <w:style w:type="paragraph" w:customStyle="1" w:styleId="TableParagraph">
    <w:name w:val="Table Paragraph"/>
    <w:uiPriority w:val="1"/>
    <w:qFormat/>
  </w:style>
  <w:style w:type="paragraph" w:styleId="a6">
    <w:name w:val="header"/>
    <w:link w:val="a7"/>
    <w:uiPriority w:val="99"/>
    <w:unhideWhenUsed/>
    <w:rsid w:val="00FF70A6"/>
    <w:pPr>
      <w:tabs>
        <w:tab w:val="center" w:pos="4677"/>
        <w:tab w:val="right" w:pos="9355"/>
      </w:tabs>
    </w:pPr>
  </w:style>
  <w:style w:type="character" w:customStyle="1" w:styleId="a7">
    <w:name w:val="Верхний колонтитул Знак"/>
    <w:basedOn w:val="a0"/>
    <w:link w:val="a6"/>
    <w:uiPriority w:val="99"/>
    <w:rsid w:val="00FF70A6"/>
    <w:rPr>
      <w:rFonts w:ascii="Times New Roman" w:eastAsia="Times New Roman" w:hAnsi="Times New Roman" w:cs="Times New Roman"/>
      <w:lang w:val="id"/>
    </w:rPr>
  </w:style>
  <w:style w:type="paragraph" w:styleId="a8">
    <w:name w:val="footer"/>
    <w:link w:val="a9"/>
    <w:uiPriority w:val="99"/>
    <w:unhideWhenUsed/>
    <w:rsid w:val="00FF70A6"/>
    <w:pPr>
      <w:tabs>
        <w:tab w:val="center" w:pos="4677"/>
        <w:tab w:val="right" w:pos="9355"/>
      </w:tabs>
    </w:pPr>
  </w:style>
  <w:style w:type="character" w:customStyle="1" w:styleId="a9">
    <w:name w:val="Нижний колонтитул Знак"/>
    <w:basedOn w:val="a0"/>
    <w:link w:val="a8"/>
    <w:uiPriority w:val="99"/>
    <w:rsid w:val="00FF70A6"/>
    <w:rPr>
      <w:rFonts w:ascii="Times New Roman" w:eastAsia="Times New Roman" w:hAnsi="Times New Roman" w:cs="Times New Roman"/>
      <w:lang w:val="id"/>
    </w:rPr>
  </w:style>
  <w:style w:type="paragraph" w:styleId="aa">
    <w:name w:val="Balloon Text"/>
    <w:link w:val="ab"/>
    <w:uiPriority w:val="99"/>
    <w:semiHidden/>
    <w:unhideWhenUsed/>
    <w:rsid w:val="006B3477"/>
    <w:rPr>
      <w:rFonts w:ascii="Tahoma" w:hAnsi="Tahoma" w:cs="Tahoma"/>
      <w:sz w:val="16"/>
      <w:szCs w:val="16"/>
    </w:rPr>
  </w:style>
  <w:style w:type="character" w:customStyle="1" w:styleId="ab">
    <w:name w:val="Текст выноски Знак"/>
    <w:basedOn w:val="a0"/>
    <w:link w:val="aa"/>
    <w:uiPriority w:val="99"/>
    <w:semiHidden/>
    <w:rsid w:val="006B3477"/>
    <w:rPr>
      <w:rFonts w:ascii="Tahoma" w:eastAsia="Times New Roman" w:hAnsi="Tahoma" w:cs="Tahoma"/>
      <w:sz w:val="16"/>
      <w:szCs w:val="16"/>
      <w:lang w:val="id"/>
    </w:rPr>
  </w:style>
  <w:style w:type="character" w:customStyle="1" w:styleId="30">
    <w:name w:val="Заголовок 3 Знак"/>
    <w:basedOn w:val="a0"/>
    <w:uiPriority w:val="9"/>
    <w:semiHidden/>
    <w:rsid w:val="00E818AC"/>
    <w:rPr>
      <w:rFonts w:asciiTheme="majorHAnsi" w:eastAsiaTheme="majorEastAsia" w:hAnsiTheme="majorHAnsi" w:cstheme="majorBidi"/>
      <w:b/>
      <w:bCs/>
      <w:color w:val="4F81BD" w:themeColor="accent1"/>
      <w:lang w:val="id"/>
    </w:rPr>
  </w:style>
  <w:style w:type="character" w:customStyle="1" w:styleId="10">
    <w:name w:val="Заголовок 1 Знак"/>
    <w:basedOn w:val="a0"/>
    <w:uiPriority w:val="9"/>
    <w:rsid w:val="00216C32"/>
    <w:rPr>
      <w:rFonts w:ascii="Times New Roman" w:eastAsia="Times New Roman" w:hAnsi="Times New Roman" w:cs="Times New Roman"/>
      <w:b/>
      <w:bCs/>
      <w:sz w:val="28"/>
      <w:szCs w:val="28"/>
      <w:lang w:val="id"/>
    </w:rPr>
  </w:style>
  <w:style w:type="character" w:customStyle="1" w:styleId="ac">
    <w:name w:val="Заголовок Знак"/>
    <w:basedOn w:val="a0"/>
    <w:uiPriority w:val="10"/>
    <w:rsid w:val="008537DE"/>
    <w:rPr>
      <w:rFonts w:ascii="Calibri" w:eastAsia="Calibri" w:hAnsi="Calibri" w:cs="Calibri"/>
      <w:sz w:val="56"/>
      <w:szCs w:val="56"/>
      <w:lang w:val="uz-Latn-UZ" w:eastAsia="ko-KR"/>
    </w:rPr>
  </w:style>
  <w:style w:type="paragraph" w:styleId="ad">
    <w:name w:val="Subtitle"/>
    <w:basedOn w:val="a"/>
    <w:next w:val="a"/>
    <w:pPr>
      <w:keepNext/>
      <w:keepLines/>
      <w:spacing w:before="360" w:after="80"/>
    </w:pPr>
    <w:rPr>
      <w:rFonts w:ascii="Georgia" w:eastAsia="Georgia" w:hAnsi="Georgia" w:cs="Georgia"/>
      <w:i/>
      <w:iCs/>
      <w:color w:val="666666"/>
      <w:sz w:val="48"/>
      <w:szCs w:val="48"/>
    </w:rPr>
  </w:style>
  <w:style w:type="table" w:customStyle="1" w:styleId="ae">
    <w:basedOn w:val="TableNormal0"/>
    <w:tblPr>
      <w:tblStyleRowBandSize w:val="1"/>
      <w:tblStyleColBandSize w:val="1"/>
      <w:tblCellMar>
        <w:left w:w="115" w:type="dxa"/>
        <w:right w:w="115" w:type="dxa"/>
      </w:tblCellMar>
    </w:tblPr>
  </w:style>
  <w:style w:type="table" w:customStyle="1" w:styleId="af">
    <w:basedOn w:val="TableNormal0"/>
    <w:tblPr>
      <w:tblStyleRowBandSize w:val="1"/>
      <w:tblStyleColBandSize w:val="1"/>
      <w:tblCellMar>
        <w:left w:w="115" w:type="dxa"/>
        <w:right w:w="115"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relyOnVML/>
  <w:allowPNG/>
</w:webSettings>
</file>

<file path=word/_rels/document.xml.rels><?xml version="1.0" encoding="UTF-8" standalone="yes"?>
<Relationships xmlns="http://schemas.openxmlformats.org/package/2006/relationships"><Relationship Id="rId3" Type="http://schemas.openxmlformats.org/officeDocument/2006/relationships/styles" Target="styles.xml"/><Relationship Id="rId7"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ntTable" Target="fontTable.xml"/><Relationship Id="rId5" Type="http://schemas.openxmlformats.org/officeDocument/2006/relationships/webSettings" Target="webSettings.xml"/><Relationship Id="rId4" Type="http://schemas.openxmlformats.org/officeDocument/2006/relationships/settings" Target="settings.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moP1b/79z2/V4plVPNbWhSLiLVA==">CgMxLjAyDmguMzY5NGt3MXZwczdhMg5oLnludjN4ZWN3aXVkMzIOaC5odG1qa3ozdWJwaGYyDmguZGNmNmY3c3dmM3cxMg5oLmMzOXl2NXZwMXA4ajgAciExaDJnN25SdU5OVzlOdkhiWDRsNHl4UnpOakNQM09fY3g=</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6</Pages>
  <Words>1365</Words>
  <Characters>7782</Characters>
  <Application>Microsoft Office Word</Application>
  <DocSecurity>0</DocSecurity>
  <Lines>64</Lines>
  <Paragraphs>18</Paragraphs>
  <ScaleCrop>false</ScaleCrop>
  <Company>SPecialiST RePack</Company>
  <LinksUpToDate>false</LinksUpToDate>
  <CharactersWithSpaces>9129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Пользователь Windows</dc:creator>
  <cp:lastModifiedBy>Пользователь Windows</cp:lastModifiedBy>
  <cp:revision>4</cp:revision>
  <dcterms:created xsi:type="dcterms:W3CDTF">2024-03-05T13:50:00Z</dcterms:created>
  <dcterms:modified xsi:type="dcterms:W3CDTF">2026-04-03T05:31:00Z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2021-11-10T00:00:00Z</vt:filetime>
  </property>
  <property fmtid="{D5CDD505-2E9C-101B-9397-08002B2CF9AE}" pid="3" name="Creator">
    <vt:lpwstr>Microsoft® Word 2019</vt:lpwstr>
  </property>
  <property fmtid="{D5CDD505-2E9C-101B-9397-08002B2CF9AE}" pid="4" name="LastSaved">
    <vt:filetime>2023-09-07T00:00:00Z</vt:filetime>
  </property>
</Properties>
</file>